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81" w:rsidRPr="00423481" w:rsidRDefault="00423481" w:rsidP="00423481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r w:rsidRPr="00423481">
        <w:rPr>
          <w:rFonts w:eastAsia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31CB6A5" wp14:editId="7F97863E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481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423481" w:rsidRPr="00423481" w:rsidRDefault="00423481" w:rsidP="00423481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423481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423481">
        <w:rPr>
          <w:rFonts w:eastAsia="Times New Roman" w:cs="Times New Roman"/>
          <w:sz w:val="18"/>
          <w:szCs w:val="18"/>
          <w:lang w:eastAsia="bg-BG"/>
        </w:rPr>
        <w:t>mail</w:t>
      </w:r>
      <w:r w:rsidRPr="00423481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8" w:history="1"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423481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>МОТИВИ</w:t>
      </w: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към проект за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Изменение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допълнение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към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Наредба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ползване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пасища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мери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–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публична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общинска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собственост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предоставянето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им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индивидуално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общо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ползване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земеделски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стопани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отглеждане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животни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или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лица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,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поели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задължение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да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ги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поддържат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в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добро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земеделско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екологично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423481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състояние</w:t>
      </w:r>
      <w:r w:rsidRPr="00423481">
        <w:rPr>
          <w:rFonts w:eastAsia="Times New Roman" w:cs="Times New Roman"/>
          <w:b/>
          <w:color w:val="000000"/>
          <w:kern w:val="28"/>
          <w:szCs w:val="20"/>
          <w:lang w:val="bg-BG"/>
        </w:rPr>
        <w:t>.</w:t>
      </w:r>
    </w:p>
    <w:p w:rsidR="00423481" w:rsidRPr="00423481" w:rsidRDefault="00423481" w:rsidP="00423481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604149" w:rsidRDefault="00604149">
      <w:pPr>
        <w:rPr>
          <w:lang w:val="bg-BG"/>
        </w:rPr>
      </w:pP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Мотивите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приемане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на изменение и допълнение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Наредба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ползване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пасища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мери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–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публична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общинска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собственост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предоставянето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им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индивидуално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общо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ползване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земеделски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стопани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отглеждане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животни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или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лица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,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поели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задължение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да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ги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поддържат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в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добро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земеделско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и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екологично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състояние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:</w:t>
      </w:r>
    </w:p>
    <w:p w:rsid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ab/>
        <w:t>-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Синхронизиране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текстовете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Наредбата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актовете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от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по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-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висока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</w:t>
      </w:r>
      <w:r w:rsidRPr="00604149">
        <w:rPr>
          <w:rFonts w:eastAsia="Times New Roman" w:cs="Times New Roman" w:hint="eastAsia"/>
          <w:color w:val="000000"/>
          <w:kern w:val="28"/>
          <w:szCs w:val="20"/>
          <w:lang w:val="bg-BG"/>
        </w:rPr>
        <w:t>степен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.</w:t>
      </w:r>
    </w:p>
    <w:p w:rsid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  <w:t xml:space="preserve">С промените на </w:t>
      </w:r>
      <w:r w:rsidRPr="00604149">
        <w:rPr>
          <w:rFonts w:eastAsia="Times New Roman" w:cs="Times New Roman"/>
          <w:b/>
          <w:color w:val="000000"/>
          <w:kern w:val="28"/>
          <w:szCs w:val="20"/>
          <w:lang w:val="bg-BG"/>
        </w:rPr>
        <w:t>Глава трета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„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УСЛОВИЯ И РЕД ЗА ПРЕДОСТАВЯНЕ НА ПАСИЩА И МЕРИ ЗА ИНДИВИДУАЛНО И ОБЩО ПОЛЗВАНЕ НА ЗЕМЕДЕЛСКИ СТОПАНИ ИЛИ ЛИЦА, ПОЕЛИ ЗАДЪЛЖЕНИЕ ДА ГИ ПОДДЪРЖАТ В ДОБРО ЗЕМЕДЕЛСКО И ЕКОЛОГИЧНО СЪСТОЯНИЕ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“ от Наредбата се изменя редът на разпределение на пасища, мери и ливади от общинския поземлен фонд . Предвижда се разпределението да се извършва от съвместна комисия, назначена от Директора на областна дирекция „Земеделие“. 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В състава на комисията се включват: кметът на населеното място, съответно кметският наместник или оправомощени от тях длъжностни лица, представител на общинската администрация, представител на общинската служба по земеделие, представител на областната дирекция "Земеделие" и представител на областната дирекция по безопасност на храните. Председател на комисията е кметът на общината или оправомощено от него длъжностно лице.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 xml:space="preserve"> С цел публичност при разпределението на имотите се предвижда възможност на заседанията да присъстват заявителите. Имотите се разпределят спрямо броя и вода на регистрираните животни.</w:t>
      </w: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  <w:t>Р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азпределя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т се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едновременно имоти или части от имоти от държавния и общинския поземлен фонд до достигане на норм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ата</w:t>
      </w: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 xml:space="preserve"> при спазване на следната последователност:</w:t>
      </w: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а) собственици или ползватели на животновъдни обекти, регистрирани в съответното землище, отглеждащи биологично сертифицирани животни и имащи биологично сертифицирани площи;</w:t>
      </w: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б) собственици или ползватели на животновъдни обекти, регистрирани в съответното землище, ползвали съответните имоти по договори с изтекъл срок;</w:t>
      </w:r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в) собственици или ползватели на животновъдни обекти, регистрирани в съответното землище;</w:t>
      </w:r>
    </w:p>
    <w:p w:rsid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 w:rsidRPr="00604149">
        <w:rPr>
          <w:rFonts w:eastAsia="Times New Roman" w:cs="Times New Roman"/>
          <w:color w:val="000000"/>
          <w:kern w:val="28"/>
          <w:szCs w:val="20"/>
          <w:lang w:val="bg-BG"/>
        </w:rPr>
        <w:t>г) собственици или ползватели на животновъдни обекти, съседни на имоти от държавния и/или общинския поземлен фонд, независимо от землищ</w:t>
      </w:r>
      <w:r w:rsidR="008647CF">
        <w:rPr>
          <w:rFonts w:eastAsia="Times New Roman" w:cs="Times New Roman"/>
          <w:color w:val="000000"/>
          <w:kern w:val="28"/>
          <w:szCs w:val="20"/>
          <w:lang w:val="bg-BG"/>
        </w:rPr>
        <w:t>ето, в което се намират имотите.</w:t>
      </w:r>
    </w:p>
    <w:p w:rsidR="008647CF" w:rsidRDefault="008647CF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  <w:t>П</w:t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t xml:space="preserve">ри недостиг на пасища, мери и ливади от държавния и/или общинския поземлен фонд в землището, в което се намира животновъдният обект, определя с протоколно решение коефициент за редукция на площите, който се прилага спрямо </w:t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lastRenderedPageBreak/>
        <w:t>всички лица в землището; при наличие на свободни пасища, мери и ливади в съседно землище в същата или съседна община площите може да се разпределят д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о достигане на нормата.</w:t>
      </w:r>
    </w:p>
    <w:p w:rsidR="008647CF" w:rsidRDefault="008647CF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  <w:t>Комисията</w:t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t xml:space="preserve"> съставя протокол за разпределение на имотите в срок до 20 май, който се обявява и се публикува в областната дирекция "Земеделие", общинските служби по земеделие, общините и кметствата и на интернет страницата на областната дирекция "Земеделие" и на общината.</w:t>
      </w:r>
    </w:p>
    <w:p w:rsidR="008647CF" w:rsidRDefault="008647CF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t>Въз основа на протокола, в срок до 20 юни кметът на общината сключва договор за наем с минимален срок от 5 календарни години, който започва да тече от следващата календарна година. Договорът се сключва след заплащане на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рентно плащане за землището в общ</w:t>
      </w:r>
      <w:r>
        <w:rPr>
          <w:rFonts w:eastAsia="Times New Roman" w:cs="Times New Roman"/>
          <w:color w:val="000000"/>
          <w:kern w:val="28"/>
          <w:szCs w:val="20"/>
          <w:lang w:val="bg-BG"/>
        </w:rPr>
        <w:t>ината за пасища, мери и ливади.</w:t>
      </w:r>
    </w:p>
    <w:p w:rsidR="008647CF" w:rsidRDefault="008647CF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t>Останалите свободни пасища, мери и ливади от общинския поземлен фонд се отдават под наем чрез търг, в който се допускат до участие само собственици или ползватели на животновъдни обекти с пасищни селскостопански животни, регистрирани в Интегрираната информационна система на БАБХ, в същата или в съседна община, независимо от областта, в която се намира. Търгът се провежда от кмета на общината - за земите от общинския поземлен фонд. Договорите се сключват за една календарна година.</w:t>
      </w:r>
    </w:p>
    <w:p w:rsidR="008647CF" w:rsidRDefault="008647CF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  <w:r w:rsidRPr="008647CF">
        <w:rPr>
          <w:rFonts w:eastAsia="Times New Roman" w:cs="Times New Roman"/>
          <w:color w:val="000000"/>
          <w:kern w:val="28"/>
          <w:szCs w:val="20"/>
          <w:lang w:val="bg-BG"/>
        </w:rPr>
        <w:t>Ежегодно, в срок до 20 април, комисията извършва проверки за спазване на условията по сключените договори за наем на пасища, мери и ливади от държавния и общинския поземлен фонд. Протоколът от проверката се представя на директора на областната дирекция "Земеделие" и на кмета на общината.</w:t>
      </w:r>
    </w:p>
    <w:p w:rsidR="00127F12" w:rsidRDefault="00127F12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127F12" w:rsidRDefault="00127F12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127F12" w:rsidRDefault="00127F12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bookmarkStart w:id="0" w:name="_GoBack"/>
      <w:bookmarkEnd w:id="0"/>
    </w:p>
    <w:p w:rsidR="00604149" w:rsidRPr="00604149" w:rsidRDefault="00604149" w:rsidP="00604149">
      <w:pPr>
        <w:rPr>
          <w:rFonts w:eastAsia="Times New Roman" w:cs="Times New Roman"/>
          <w:color w:val="000000"/>
          <w:kern w:val="28"/>
          <w:szCs w:val="20"/>
          <w:lang w:val="bg-BG"/>
        </w:rPr>
      </w:pPr>
      <w:r>
        <w:rPr>
          <w:rFonts w:eastAsia="Times New Roman" w:cs="Times New Roman"/>
          <w:color w:val="000000"/>
          <w:kern w:val="28"/>
          <w:szCs w:val="20"/>
          <w:lang w:val="bg-BG"/>
        </w:rPr>
        <w:tab/>
      </w:r>
    </w:p>
    <w:p w:rsidR="00604149" w:rsidRPr="00604149" w:rsidRDefault="00604149">
      <w:pPr>
        <w:rPr>
          <w:lang w:val="bg-BG"/>
        </w:rPr>
      </w:pPr>
    </w:p>
    <w:sectPr w:rsidR="00604149" w:rsidRPr="00604149" w:rsidSect="00270B5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373" w:rsidRDefault="00F63373">
      <w:r>
        <w:separator/>
      </w:r>
    </w:p>
  </w:endnote>
  <w:endnote w:type="continuationSeparator" w:id="0">
    <w:p w:rsidR="00F63373" w:rsidRDefault="00F63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2176"/>
      <w:docPartObj>
        <w:docPartGallery w:val="Page Numbers (Bottom of Page)"/>
        <w:docPartUnique/>
      </w:docPartObj>
    </w:sdtPr>
    <w:sdtEndPr/>
    <w:sdtContent>
      <w:p w:rsidR="00FE244E" w:rsidRDefault="00AC45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296" w:rsidRPr="00334296">
          <w:rPr>
            <w:noProof/>
            <w:lang w:val="bg-BG"/>
          </w:rPr>
          <w:t>2</w:t>
        </w:r>
        <w:r>
          <w:fldChar w:fldCharType="end"/>
        </w:r>
      </w:p>
    </w:sdtContent>
  </w:sdt>
  <w:p w:rsidR="00FE244E" w:rsidRDefault="00AC45E4" w:rsidP="00DB2556">
    <w:pPr>
      <w:pStyle w:val="a3"/>
      <w:jc w:val="right"/>
    </w:pPr>
    <w:r w:rsidRPr="00DB2556">
      <w:rPr>
        <w:b/>
        <w:noProof/>
        <w:szCs w:val="24"/>
      </w:rPr>
      <w:drawing>
        <wp:inline distT="0" distB="0" distL="0" distR="0" wp14:anchorId="641EFDE5" wp14:editId="13FF2AA9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373" w:rsidRDefault="00F63373">
      <w:r>
        <w:separator/>
      </w:r>
    </w:p>
  </w:footnote>
  <w:footnote w:type="continuationSeparator" w:id="0">
    <w:p w:rsidR="00F63373" w:rsidRDefault="00F63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B7"/>
    <w:rsid w:val="000B0B1D"/>
    <w:rsid w:val="00127F12"/>
    <w:rsid w:val="001D1A21"/>
    <w:rsid w:val="00332100"/>
    <w:rsid w:val="00334296"/>
    <w:rsid w:val="00423481"/>
    <w:rsid w:val="00557EB7"/>
    <w:rsid w:val="00604149"/>
    <w:rsid w:val="008647CF"/>
    <w:rsid w:val="00AC45E4"/>
    <w:rsid w:val="00F6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23481"/>
    <w:pPr>
      <w:tabs>
        <w:tab w:val="center" w:pos="4703"/>
        <w:tab w:val="right" w:pos="9406"/>
      </w:tabs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423481"/>
  </w:style>
  <w:style w:type="paragraph" w:styleId="a5">
    <w:name w:val="Balloon Text"/>
    <w:basedOn w:val="a"/>
    <w:link w:val="a6"/>
    <w:uiPriority w:val="99"/>
    <w:semiHidden/>
    <w:unhideWhenUsed/>
    <w:rsid w:val="0042348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23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23481"/>
    <w:pPr>
      <w:tabs>
        <w:tab w:val="center" w:pos="4703"/>
        <w:tab w:val="right" w:pos="9406"/>
      </w:tabs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423481"/>
  </w:style>
  <w:style w:type="paragraph" w:styleId="a5">
    <w:name w:val="Balloon Text"/>
    <w:basedOn w:val="a"/>
    <w:link w:val="a6"/>
    <w:uiPriority w:val="99"/>
    <w:semiHidden/>
    <w:unhideWhenUsed/>
    <w:rsid w:val="0042348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23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2024-09-05T05:44:00Z</dcterms:created>
  <dcterms:modified xsi:type="dcterms:W3CDTF">2024-09-18T09:59:00Z</dcterms:modified>
</cp:coreProperties>
</file>