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E0E95" w14:textId="4E838A3C" w:rsidR="00B56F54" w:rsidRPr="00D403B8" w:rsidRDefault="00B56F54" w:rsidP="00B56F54">
      <w:pPr>
        <w:jc w:val="right"/>
        <w:rPr>
          <w:b/>
          <w:i/>
        </w:rPr>
      </w:pPr>
      <w:r w:rsidRPr="00D403B8">
        <w:rPr>
          <w:b/>
          <w:i/>
        </w:rPr>
        <w:t>Приложение</w:t>
      </w:r>
      <w:r w:rsidRPr="00D403B8">
        <w:rPr>
          <w:b/>
          <w:i/>
          <w:lang w:val="ru-RU"/>
        </w:rPr>
        <w:t xml:space="preserve"> </w:t>
      </w:r>
      <w:r w:rsidR="0086117D">
        <w:rPr>
          <w:b/>
          <w:i/>
        </w:rPr>
        <w:t>8</w:t>
      </w:r>
    </w:p>
    <w:p w14:paraId="04BF3673" w14:textId="5163F8D3" w:rsidR="0095789D" w:rsidRPr="00D403B8" w:rsidRDefault="00CB4FC0" w:rsidP="00240058">
      <w:pPr>
        <w:jc w:val="right"/>
        <w:rPr>
          <w:bCs/>
          <w:iCs/>
        </w:rPr>
      </w:pPr>
      <w:r w:rsidRPr="00D403B8">
        <w:rPr>
          <w:bCs/>
          <w:iCs/>
        </w:rPr>
        <w:t xml:space="preserve"> </w:t>
      </w:r>
      <w:r w:rsidR="0095789D" w:rsidRPr="00D403B8">
        <w:rPr>
          <w:bCs/>
          <w:iCs/>
        </w:rPr>
        <w:t xml:space="preserve"> </w:t>
      </w:r>
    </w:p>
    <w:p w14:paraId="36987D98" w14:textId="77777777" w:rsidR="003E1907" w:rsidRPr="00D403B8" w:rsidRDefault="003E1907" w:rsidP="00E226B2">
      <w:pPr>
        <w:tabs>
          <w:tab w:val="left" w:pos="720"/>
        </w:tabs>
        <w:jc w:val="both"/>
        <w:rPr>
          <w:b/>
        </w:rPr>
      </w:pPr>
    </w:p>
    <w:p w14:paraId="5CC84B7D" w14:textId="7246D3A5" w:rsidR="005A65AF" w:rsidRPr="00D403B8" w:rsidRDefault="00D0284D" w:rsidP="00D0284D">
      <w:pPr>
        <w:tabs>
          <w:tab w:val="left" w:pos="720"/>
        </w:tabs>
        <w:jc w:val="center"/>
        <w:rPr>
          <w:rStyle w:val="spelle"/>
        </w:rPr>
      </w:pPr>
      <w:r>
        <w:rPr>
          <w:b/>
        </w:rPr>
        <w:t>ИЗИСКВАНИЯ ЗА ДОПУСТИМИ КУЛТУРНИ ОПЕРАТОРИ:</w:t>
      </w:r>
    </w:p>
    <w:p w14:paraId="70B604B0" w14:textId="77777777" w:rsidR="00F70367" w:rsidRPr="00D403B8" w:rsidRDefault="00F70367" w:rsidP="00F70367">
      <w:pPr>
        <w:widowControl w:val="0"/>
        <w:autoSpaceDE w:val="0"/>
        <w:autoSpaceDN w:val="0"/>
        <w:adjustRightInd w:val="0"/>
        <w:spacing w:after="120"/>
        <w:ind w:left="1068"/>
        <w:jc w:val="both"/>
        <w:rPr>
          <w:rFonts w:eastAsia="Calibri"/>
        </w:rPr>
      </w:pPr>
    </w:p>
    <w:p w14:paraId="0C554B09" w14:textId="77777777" w:rsidR="000222BF" w:rsidRPr="00D403B8" w:rsidRDefault="000222BF" w:rsidP="000222BF">
      <w:pPr>
        <w:tabs>
          <w:tab w:val="left" w:pos="720"/>
        </w:tabs>
        <w:spacing w:after="120"/>
        <w:jc w:val="both"/>
        <w:rPr>
          <w:rFonts w:eastAsia="Calibri"/>
        </w:rPr>
      </w:pPr>
    </w:p>
    <w:p w14:paraId="0E82A292" w14:textId="48D7FFD2" w:rsidR="00144CAB" w:rsidRPr="00144CAB" w:rsidRDefault="00144CAB" w:rsidP="00144CAB">
      <w:pPr>
        <w:pStyle w:val="ListParagraph"/>
        <w:tabs>
          <w:tab w:val="left" w:pos="720"/>
        </w:tabs>
        <w:spacing w:after="120"/>
        <w:ind w:left="284"/>
        <w:jc w:val="both"/>
        <w:rPr>
          <w:rFonts w:eastAsia="Calibri"/>
        </w:rPr>
      </w:pPr>
      <w:r w:rsidRPr="00144CAB">
        <w:rPr>
          <w:rFonts w:eastAsia="Calibri"/>
        </w:rPr>
        <w:t>Допустими к</w:t>
      </w:r>
      <w:r>
        <w:rPr>
          <w:rFonts w:eastAsia="Calibri"/>
        </w:rPr>
        <w:t>ултурни оператори</w:t>
      </w:r>
      <w:r w:rsidRPr="00144CAB">
        <w:rPr>
          <w:rFonts w:eastAsia="Calibri"/>
        </w:rPr>
        <w:t xml:space="preserve"> по процедурата са:</w:t>
      </w:r>
    </w:p>
    <w:p w14:paraId="2A630CA8" w14:textId="451EA7BD" w:rsidR="0086117D" w:rsidRDefault="00144CAB" w:rsidP="00144CAB">
      <w:pPr>
        <w:pStyle w:val="ListParagraph"/>
        <w:tabs>
          <w:tab w:val="left" w:pos="720"/>
        </w:tabs>
        <w:spacing w:after="120"/>
        <w:ind w:left="284"/>
        <w:jc w:val="both"/>
        <w:rPr>
          <w:rFonts w:eastAsia="Calibri"/>
        </w:rPr>
      </w:pPr>
      <w:r w:rsidRPr="00144CAB">
        <w:rPr>
          <w:rFonts w:eastAsia="Calibri"/>
        </w:rPr>
        <w:t xml:space="preserve">1. </w:t>
      </w:r>
      <w:r w:rsidR="00F749E7">
        <w:rPr>
          <w:rFonts w:eastAsia="Calibri"/>
        </w:rPr>
        <w:t>К</w:t>
      </w:r>
      <w:r w:rsidRPr="00144CAB">
        <w:rPr>
          <w:rFonts w:eastAsia="Calibri"/>
        </w:rPr>
        <w:t>ултурни организации по смисъла на чл.10, ал.1, т.1 от Закона за закрила и развитие на културата - лица, регистрирани по реда на Търговския закон, на Закона за юридическите лица с нестопанска цел или на Закона за кооперациите</w:t>
      </w:r>
      <w:r w:rsidR="000A3000">
        <w:rPr>
          <w:rFonts w:eastAsia="Calibri"/>
        </w:rPr>
        <w:t>.</w:t>
      </w:r>
    </w:p>
    <w:p w14:paraId="6F65EC42" w14:textId="77777777" w:rsidR="000A3000" w:rsidRDefault="00144CAB" w:rsidP="00144CAB">
      <w:pPr>
        <w:pStyle w:val="ListParagraph"/>
        <w:tabs>
          <w:tab w:val="left" w:pos="720"/>
        </w:tabs>
        <w:spacing w:after="120"/>
        <w:ind w:left="284"/>
        <w:jc w:val="both"/>
        <w:rPr>
          <w:rFonts w:eastAsia="Calibri"/>
        </w:rPr>
      </w:pPr>
      <w:r w:rsidRPr="00144CAB">
        <w:rPr>
          <w:rFonts w:eastAsia="Calibri"/>
        </w:rPr>
        <w:t>2. Творческите съюзи - сдружения с нестопанска цел, които обединяват лица, извършващи сродна творческа дейност в областта на културата по чл. 10, ал. 3 от Закона за закрила и развитие на културата</w:t>
      </w:r>
      <w:r w:rsidR="000A3000" w:rsidRPr="000A3000">
        <w:t xml:space="preserve"> </w:t>
      </w:r>
      <w:r w:rsidR="000A3000" w:rsidRPr="000A3000">
        <w:rPr>
          <w:rFonts w:eastAsia="Calibri"/>
        </w:rPr>
        <w:t>или техни правоприемници.</w:t>
      </w:r>
    </w:p>
    <w:p w14:paraId="4F8290B7" w14:textId="3DEAAFC5" w:rsidR="00144CAB" w:rsidRPr="000A3000" w:rsidRDefault="00144CAB" w:rsidP="00144CAB">
      <w:pPr>
        <w:pStyle w:val="ListParagraph"/>
        <w:tabs>
          <w:tab w:val="left" w:pos="720"/>
        </w:tabs>
        <w:spacing w:after="120"/>
        <w:ind w:left="284"/>
        <w:jc w:val="both"/>
        <w:rPr>
          <w:rFonts w:eastAsia="Calibri"/>
        </w:rPr>
      </w:pPr>
      <w:r w:rsidRPr="00144CAB">
        <w:rPr>
          <w:rFonts w:eastAsia="Calibri"/>
        </w:rPr>
        <w:t>3. Културни организации съгласно чл. 4, ал. 1 от Закона за закрила и развитие на културата - държавните, общинските и регионалните културни институти</w:t>
      </w:r>
      <w:r w:rsidR="000A3000" w:rsidRPr="000A3000">
        <w:rPr>
          <w:rFonts w:eastAsia="Calibri"/>
          <w:lang w:val="ru-RU"/>
        </w:rPr>
        <w:t xml:space="preserve"> </w:t>
      </w:r>
      <w:bookmarkStart w:id="0" w:name="_Hlk188011944"/>
      <w:r w:rsidR="000A3000">
        <w:rPr>
          <w:rFonts w:eastAsia="Calibri"/>
        </w:rPr>
        <w:t>или техни правоприемници.</w:t>
      </w:r>
    </w:p>
    <w:bookmarkEnd w:id="0"/>
    <w:p w14:paraId="5EF6A262" w14:textId="21EAD35A" w:rsidR="00144CAB" w:rsidRPr="00144CAB" w:rsidRDefault="00144CAB" w:rsidP="00144CAB">
      <w:pPr>
        <w:pStyle w:val="ListParagraph"/>
        <w:tabs>
          <w:tab w:val="left" w:pos="720"/>
        </w:tabs>
        <w:spacing w:after="120"/>
        <w:ind w:left="284"/>
        <w:jc w:val="both"/>
        <w:rPr>
          <w:rFonts w:eastAsia="Calibri"/>
        </w:rPr>
      </w:pPr>
      <w:r w:rsidRPr="00144CAB">
        <w:rPr>
          <w:rFonts w:eastAsia="Calibri"/>
        </w:rPr>
        <w:t>4. Културните институти съгласно чл. 9, ал. 1 от Закона за закрила и развитие на културата - регионалните културни институти</w:t>
      </w:r>
      <w:r w:rsidR="000A3000">
        <w:rPr>
          <w:rFonts w:eastAsia="Calibri"/>
        </w:rPr>
        <w:t xml:space="preserve"> </w:t>
      </w:r>
      <w:r w:rsidR="000A3000" w:rsidRPr="000A3000">
        <w:rPr>
          <w:rFonts w:eastAsia="Calibri"/>
        </w:rPr>
        <w:t>или техни правоприемници.</w:t>
      </w:r>
    </w:p>
    <w:p w14:paraId="36C064A4" w14:textId="38921159" w:rsidR="00144CAB" w:rsidRPr="00144CAB" w:rsidRDefault="00144CAB" w:rsidP="00144CAB">
      <w:pPr>
        <w:pStyle w:val="ListParagraph"/>
        <w:tabs>
          <w:tab w:val="left" w:pos="720"/>
        </w:tabs>
        <w:spacing w:after="120"/>
        <w:ind w:left="284"/>
        <w:jc w:val="both"/>
        <w:rPr>
          <w:rFonts w:eastAsia="Calibri"/>
        </w:rPr>
      </w:pPr>
      <w:r w:rsidRPr="00144CAB">
        <w:rPr>
          <w:rFonts w:eastAsia="Calibri"/>
        </w:rPr>
        <w:t>5. Лица, осъществяващи дейност като частни културни организации, учредени съгласно Закона за народните читалища</w:t>
      </w:r>
      <w:r w:rsidR="000A3000">
        <w:rPr>
          <w:rFonts w:eastAsia="Calibri"/>
        </w:rPr>
        <w:t>.</w:t>
      </w:r>
    </w:p>
    <w:p w14:paraId="0DE1B5A8" w14:textId="21E0BD7F" w:rsidR="00144CAB" w:rsidRPr="00144CAB" w:rsidRDefault="00144CAB" w:rsidP="00144CAB">
      <w:pPr>
        <w:pStyle w:val="ListParagraph"/>
        <w:tabs>
          <w:tab w:val="left" w:pos="720"/>
        </w:tabs>
        <w:spacing w:after="120"/>
        <w:ind w:left="284"/>
        <w:jc w:val="both"/>
        <w:rPr>
          <w:rFonts w:eastAsia="Calibri"/>
        </w:rPr>
      </w:pPr>
      <w:r w:rsidRPr="00144CAB">
        <w:rPr>
          <w:rFonts w:eastAsia="Calibri"/>
        </w:rPr>
        <w:t>6. Физически лица с българско гражданство, регистрирани като самоосигуряващи се лица (включително неформални групи артисти)</w:t>
      </w:r>
      <w:r w:rsidR="000A3000">
        <w:rPr>
          <w:rFonts w:eastAsia="Calibri"/>
        </w:rPr>
        <w:t>.</w:t>
      </w:r>
    </w:p>
    <w:p w14:paraId="2702ABD9" w14:textId="77777777" w:rsidR="00144CAB" w:rsidRPr="00144CAB" w:rsidRDefault="00144CAB" w:rsidP="00144CAB">
      <w:pPr>
        <w:pStyle w:val="ListParagraph"/>
        <w:tabs>
          <w:tab w:val="left" w:pos="720"/>
        </w:tabs>
        <w:spacing w:after="120"/>
        <w:ind w:left="284"/>
        <w:jc w:val="both"/>
        <w:rPr>
          <w:rFonts w:eastAsia="Calibri"/>
        </w:rPr>
      </w:pPr>
    </w:p>
    <w:p w14:paraId="2C87780E" w14:textId="77777777" w:rsidR="00144CAB" w:rsidRDefault="00144CAB" w:rsidP="00144CAB">
      <w:pPr>
        <w:pStyle w:val="ListParagraph"/>
        <w:tabs>
          <w:tab w:val="left" w:pos="720"/>
        </w:tabs>
        <w:spacing w:after="120"/>
        <w:ind w:left="284"/>
        <w:jc w:val="both"/>
        <w:rPr>
          <w:rFonts w:eastAsia="Calibri"/>
        </w:rPr>
      </w:pPr>
      <w:r w:rsidRPr="00144CAB">
        <w:rPr>
          <w:rFonts w:eastAsia="Calibri"/>
        </w:rPr>
        <w:t>"Културна организация" е структура, създадена съгласно чл. 4, ал. 1 или учредена съгласно чл. 10, ал. 1, т. 1 и 2, чийто предмет на дейност е създаването, разпространението и опазването на културни ценности в областта на театъра, музиката, киното, аудиовизията, визуалните изкуства, литературата, художествения превод, танца, цирка, пластичните изкуства, архитектурата, дизайна, фолклора, включително опазването на културно-историческото наследство.</w:t>
      </w:r>
    </w:p>
    <w:p w14:paraId="6ACA0C21" w14:textId="77777777" w:rsidR="003D0EB9" w:rsidRDefault="00BF3582" w:rsidP="00144CAB">
      <w:pPr>
        <w:pStyle w:val="ListParagraph"/>
        <w:tabs>
          <w:tab w:val="left" w:pos="720"/>
        </w:tabs>
        <w:spacing w:after="120"/>
        <w:ind w:left="284"/>
        <w:jc w:val="both"/>
        <w:rPr>
          <w:lang w:eastAsia="x-none"/>
        </w:rPr>
      </w:pPr>
      <w:r w:rsidRPr="00BF3582">
        <w:rPr>
          <w:lang w:eastAsia="x-none"/>
        </w:rPr>
        <w:t xml:space="preserve">Културните оператори  следва да са осъществявали дейности свързани с развитие на културни продукти минимум една година през последните три календарни години. </w:t>
      </w:r>
    </w:p>
    <w:p w14:paraId="17BEBBF9" w14:textId="6FE978BE" w:rsidR="00BF3582" w:rsidRDefault="00BF3582" w:rsidP="00144CAB">
      <w:pPr>
        <w:pStyle w:val="ListParagraph"/>
        <w:tabs>
          <w:tab w:val="left" w:pos="720"/>
        </w:tabs>
        <w:spacing w:after="120"/>
        <w:ind w:left="284"/>
        <w:jc w:val="both"/>
        <w:rPr>
          <w:lang w:eastAsia="x-none"/>
        </w:rPr>
      </w:pPr>
      <w:r w:rsidRPr="00BF3582">
        <w:rPr>
          <w:lang w:eastAsia="x-none"/>
        </w:rPr>
        <w:t xml:space="preserve">Културните оператори  трябва да са регистрирани поне една календарна година преди датата на отваряне на настоящата процедура. </w:t>
      </w:r>
    </w:p>
    <w:p w14:paraId="1B7686DD" w14:textId="27022128" w:rsidR="002D7B9E" w:rsidRDefault="00960709" w:rsidP="00144CAB">
      <w:pPr>
        <w:pStyle w:val="ListParagraph"/>
        <w:tabs>
          <w:tab w:val="left" w:pos="720"/>
        </w:tabs>
        <w:spacing w:after="120"/>
        <w:ind w:left="284"/>
        <w:jc w:val="both"/>
        <w:rPr>
          <w:lang w:eastAsia="x-none"/>
        </w:rPr>
      </w:pPr>
      <w:r w:rsidRPr="00981584">
        <w:rPr>
          <w:b/>
          <w:lang w:eastAsia="x-none"/>
        </w:rPr>
        <w:t>Важно!</w:t>
      </w:r>
      <w:r w:rsidRPr="00981584">
        <w:rPr>
          <w:lang w:eastAsia="x-none"/>
        </w:rPr>
        <w:t xml:space="preserve"> Клонове на юридически лица, регистрирани в България, не могат да участват в процедурата поради липсата на самостоятелна правосубектност.</w:t>
      </w:r>
      <w:r w:rsidRPr="00981584">
        <w:rPr>
          <w:lang w:eastAsia="x-none"/>
        </w:rPr>
        <w:cr/>
      </w:r>
    </w:p>
    <w:p w14:paraId="4FFFADCB" w14:textId="73F51012" w:rsidR="00921585" w:rsidRPr="00981584" w:rsidRDefault="00960709" w:rsidP="00144CAB">
      <w:pPr>
        <w:pStyle w:val="ListParagraph"/>
        <w:tabs>
          <w:tab w:val="left" w:pos="720"/>
        </w:tabs>
        <w:spacing w:after="120"/>
        <w:ind w:left="284"/>
        <w:jc w:val="both"/>
        <w:rPr>
          <w:lang w:eastAsia="x-none"/>
        </w:rPr>
      </w:pPr>
      <w:r w:rsidRPr="00981584">
        <w:rPr>
          <w:lang w:eastAsia="x-none"/>
        </w:rPr>
        <w:t>По специфична цел 1 е задължително да има дейности по т.1 и т.4 и/или т.5.</w:t>
      </w:r>
      <w:r w:rsidRPr="00981584" w:rsidDel="006031CF">
        <w:rPr>
          <w:lang w:eastAsia="x-none"/>
        </w:rPr>
        <w:t xml:space="preserve"> </w:t>
      </w:r>
    </w:p>
    <w:p w14:paraId="77DE1CDB" w14:textId="77777777" w:rsidR="00B43752" w:rsidRDefault="00B43752" w:rsidP="00144CAB">
      <w:pPr>
        <w:pStyle w:val="ListParagraph"/>
        <w:tabs>
          <w:tab w:val="left" w:pos="720"/>
        </w:tabs>
        <w:spacing w:after="120"/>
        <w:ind w:left="284"/>
        <w:jc w:val="both"/>
      </w:pPr>
    </w:p>
    <w:p w14:paraId="024455C8" w14:textId="617F3F0D" w:rsidR="00CD53A9" w:rsidRDefault="00921585" w:rsidP="00144CAB">
      <w:pPr>
        <w:pStyle w:val="ListParagraph"/>
        <w:tabs>
          <w:tab w:val="left" w:pos="720"/>
        </w:tabs>
        <w:spacing w:after="120"/>
        <w:ind w:left="284"/>
        <w:jc w:val="both"/>
        <w:rPr>
          <w:lang w:eastAsia="x-none"/>
        </w:rPr>
      </w:pPr>
      <w:r w:rsidRPr="00981584">
        <w:rPr>
          <w:lang w:eastAsia="x-none"/>
        </w:rPr>
        <w:t>Общината извършва проверка за двойно финансиране на етап кандидатстване</w:t>
      </w:r>
      <w:r w:rsidR="00C87682">
        <w:rPr>
          <w:lang w:eastAsia="x-none"/>
        </w:rPr>
        <w:t xml:space="preserve"> </w:t>
      </w:r>
      <w:r w:rsidR="00C87682" w:rsidRPr="00C87682">
        <w:rPr>
          <w:lang w:eastAsia="x-none"/>
        </w:rPr>
        <w:t>на декларативен принцип и по същество на етап сключване на договор с избрания културен оператор.</w:t>
      </w:r>
    </w:p>
    <w:p w14:paraId="0B5E50E4" w14:textId="2F379D4F" w:rsidR="00C87682" w:rsidRDefault="00C87682" w:rsidP="00C87682">
      <w:pPr>
        <w:pStyle w:val="ListParagraph"/>
        <w:tabs>
          <w:tab w:val="left" w:pos="720"/>
        </w:tabs>
        <w:spacing w:after="120"/>
        <w:ind w:left="284"/>
        <w:jc w:val="both"/>
        <w:rPr>
          <w:lang w:eastAsia="x-none"/>
        </w:rPr>
      </w:pPr>
      <w:r>
        <w:lastRenderedPageBreak/>
        <w:tab/>
      </w:r>
      <w:r w:rsidRPr="00981584">
        <w:t>Общината извършва проверка за </w:t>
      </w:r>
      <w:r>
        <w:t>минимална помощ</w:t>
      </w:r>
      <w:r w:rsidRPr="00981584">
        <w:t> на етап кандидатстване</w:t>
      </w:r>
      <w:r w:rsidRPr="00981584" w:rsidDel="006031CF">
        <w:rPr>
          <w:lang w:eastAsia="x-none"/>
        </w:rPr>
        <w:t xml:space="preserve"> </w:t>
      </w:r>
      <w:bookmarkStart w:id="1" w:name="_Hlk187820957"/>
      <w:r>
        <w:rPr>
          <w:lang w:eastAsia="x-none"/>
        </w:rPr>
        <w:t>на декларативен принцип и по същество на етап сключване на договор с избрания културен оператор.</w:t>
      </w:r>
    </w:p>
    <w:bookmarkEnd w:id="1"/>
    <w:p w14:paraId="4CEC96F6" w14:textId="77777777" w:rsidR="00C87682" w:rsidRDefault="00C87682" w:rsidP="00144CAB">
      <w:pPr>
        <w:pStyle w:val="ListParagraph"/>
        <w:tabs>
          <w:tab w:val="left" w:pos="720"/>
        </w:tabs>
        <w:spacing w:after="120"/>
        <w:ind w:left="284"/>
        <w:jc w:val="both"/>
        <w:rPr>
          <w:lang w:eastAsia="x-none"/>
        </w:rPr>
      </w:pPr>
    </w:p>
    <w:p w14:paraId="47C08D18" w14:textId="77777777" w:rsidR="00C87682" w:rsidRDefault="00C87682" w:rsidP="00144CAB">
      <w:pPr>
        <w:pStyle w:val="ListParagraph"/>
        <w:tabs>
          <w:tab w:val="left" w:pos="720"/>
        </w:tabs>
        <w:spacing w:after="120"/>
        <w:ind w:left="284"/>
        <w:jc w:val="both"/>
        <w:rPr>
          <w:lang w:eastAsia="x-none"/>
        </w:rPr>
      </w:pPr>
    </w:p>
    <w:p w14:paraId="3437097A" w14:textId="77777777" w:rsidR="00C87682" w:rsidRPr="00921585" w:rsidRDefault="00C87682" w:rsidP="00144CAB">
      <w:pPr>
        <w:pStyle w:val="ListParagraph"/>
        <w:tabs>
          <w:tab w:val="left" w:pos="720"/>
        </w:tabs>
        <w:spacing w:after="120"/>
        <w:ind w:left="284"/>
        <w:jc w:val="both"/>
        <w:rPr>
          <w:rFonts w:eastAsia="Calibri"/>
        </w:rPr>
      </w:pPr>
    </w:p>
    <w:p w14:paraId="38E30372" w14:textId="7D0EC765" w:rsidR="00144CAB" w:rsidRPr="00144CAB" w:rsidRDefault="00144CAB" w:rsidP="00144CAB">
      <w:pPr>
        <w:pStyle w:val="ListParagraph"/>
        <w:tabs>
          <w:tab w:val="left" w:pos="720"/>
        </w:tabs>
        <w:spacing w:after="120"/>
        <w:ind w:left="284"/>
        <w:jc w:val="both"/>
        <w:rPr>
          <w:rFonts w:eastAsia="Calibri"/>
          <w:b/>
          <w:bCs/>
          <w:u w:val="single"/>
        </w:rPr>
      </w:pPr>
      <w:r w:rsidRPr="00144CAB">
        <w:rPr>
          <w:rFonts w:eastAsia="Calibri"/>
          <w:b/>
          <w:bCs/>
          <w:u w:val="single"/>
        </w:rPr>
        <w:t>Критерии за недопустимост на к</w:t>
      </w:r>
      <w:r>
        <w:rPr>
          <w:rFonts w:eastAsia="Calibri"/>
          <w:b/>
          <w:bCs/>
          <w:u w:val="single"/>
        </w:rPr>
        <w:t>ултурните оператори</w:t>
      </w:r>
      <w:r w:rsidRPr="00144CAB">
        <w:rPr>
          <w:rFonts w:eastAsia="Calibri"/>
          <w:b/>
          <w:bCs/>
          <w:u w:val="single"/>
        </w:rPr>
        <w:t>:</w:t>
      </w:r>
    </w:p>
    <w:p w14:paraId="78080341" w14:textId="13578032" w:rsidR="00144CAB" w:rsidRPr="00144CAB" w:rsidRDefault="00144CAB" w:rsidP="00144CAB">
      <w:pPr>
        <w:pStyle w:val="ListParagraph"/>
        <w:tabs>
          <w:tab w:val="left" w:pos="720"/>
        </w:tabs>
        <w:spacing w:after="120"/>
        <w:ind w:left="284"/>
        <w:jc w:val="both"/>
        <w:rPr>
          <w:rFonts w:eastAsia="Calibri"/>
        </w:rPr>
      </w:pPr>
      <w:r>
        <w:rPr>
          <w:rFonts w:eastAsia="Calibri"/>
        </w:rPr>
        <w:t>С</w:t>
      </w:r>
      <w:r w:rsidRPr="00144CAB">
        <w:rPr>
          <w:rFonts w:eastAsia="Calibri"/>
        </w:rPr>
        <w:t>редства от Механизма не се предоставят на</w:t>
      </w:r>
      <w:r w:rsidR="00331257">
        <w:rPr>
          <w:rFonts w:eastAsia="Calibri"/>
        </w:rPr>
        <w:t xml:space="preserve"> </w:t>
      </w:r>
      <w:r w:rsidRPr="00144CAB">
        <w:rPr>
          <w:rFonts w:eastAsia="Calibri"/>
        </w:rPr>
        <w:t>к</w:t>
      </w:r>
      <w:r>
        <w:rPr>
          <w:rFonts w:eastAsia="Calibri"/>
        </w:rPr>
        <w:t>ултурни оператори</w:t>
      </w:r>
      <w:r w:rsidRPr="00144CAB">
        <w:rPr>
          <w:rFonts w:eastAsia="Calibri"/>
        </w:rPr>
        <w:t xml:space="preserve">: </w:t>
      </w:r>
    </w:p>
    <w:p w14:paraId="6671C275" w14:textId="77777777" w:rsidR="00144CAB" w:rsidRPr="00144CAB" w:rsidRDefault="00144CAB" w:rsidP="00144CAB">
      <w:pPr>
        <w:pStyle w:val="ListParagraph"/>
        <w:tabs>
          <w:tab w:val="left" w:pos="720"/>
        </w:tabs>
        <w:spacing w:after="120"/>
        <w:ind w:left="284"/>
        <w:jc w:val="both"/>
        <w:rPr>
          <w:rFonts w:eastAsia="Calibri"/>
        </w:rPr>
      </w:pPr>
      <w:r w:rsidRPr="00144CAB">
        <w:rPr>
          <w:rFonts w:eastAsia="Calibri"/>
        </w:rPr>
        <w:t>1. за които са налице обстоятелства за отстраняване от участие в процедура за възлагане на обществена поръчка съгласно чл. 54, ал. 1, т. 1 – 3 и 5 – 7 от Закона за обществените поръчки. Изискванията по чл. 54, ал. 1, т.1, 2 и 7 от Закона за обществените поръчки се отнасят за лицата, които представляват кандидата;</w:t>
      </w:r>
    </w:p>
    <w:p w14:paraId="353DE76F" w14:textId="5C70C58D" w:rsidR="00144CAB" w:rsidRPr="00144CAB" w:rsidRDefault="00144CAB" w:rsidP="00144CAB">
      <w:pPr>
        <w:pStyle w:val="ListParagraph"/>
        <w:tabs>
          <w:tab w:val="left" w:pos="720"/>
        </w:tabs>
        <w:spacing w:after="120"/>
        <w:ind w:left="284"/>
        <w:jc w:val="both"/>
        <w:rPr>
          <w:rFonts w:eastAsia="Calibri"/>
        </w:rPr>
      </w:pPr>
      <w:r w:rsidRPr="00144CAB">
        <w:rPr>
          <w:rFonts w:eastAsia="Calibri"/>
        </w:rPr>
        <w:t xml:space="preserve">2. при които член на управителен или контролен орган, както и временно изпълняващ такава длъжност, включително прокурист или търговски пълномощник, е свързано лице по смисъла на § 1, т. </w:t>
      </w:r>
      <w:r w:rsidR="006A2C59">
        <w:rPr>
          <w:rFonts w:eastAsia="Calibri"/>
        </w:rPr>
        <w:t>15</w:t>
      </w:r>
      <w:r w:rsidR="006A2C59" w:rsidRPr="00144CAB">
        <w:rPr>
          <w:rFonts w:eastAsia="Calibri"/>
        </w:rPr>
        <w:t xml:space="preserve"> </w:t>
      </w:r>
      <w:r w:rsidRPr="00144CAB">
        <w:rPr>
          <w:rFonts w:eastAsia="Calibri"/>
        </w:rPr>
        <w:t>от Допълнителните разпоредби на Закона за противодействие на корупцията с Изпълнителния директор на НФК</w:t>
      </w:r>
      <w:r>
        <w:rPr>
          <w:rFonts w:eastAsia="Calibri"/>
        </w:rPr>
        <w:t xml:space="preserve"> и с кмета на общината бенефициент</w:t>
      </w:r>
      <w:r w:rsidRPr="00144CAB">
        <w:rPr>
          <w:rFonts w:eastAsia="Calibri"/>
        </w:rPr>
        <w:t>;</w:t>
      </w:r>
    </w:p>
    <w:p w14:paraId="22E45A81" w14:textId="77777777" w:rsidR="00144CAB" w:rsidRPr="00144CAB" w:rsidRDefault="00144CAB" w:rsidP="00144CAB">
      <w:pPr>
        <w:pStyle w:val="ListParagraph"/>
        <w:tabs>
          <w:tab w:val="left" w:pos="720"/>
        </w:tabs>
        <w:spacing w:after="120"/>
        <w:ind w:left="284"/>
        <w:jc w:val="both"/>
        <w:rPr>
          <w:rFonts w:eastAsia="Calibri"/>
        </w:rPr>
      </w:pPr>
      <w:r w:rsidRPr="00144CAB">
        <w:rPr>
          <w:rFonts w:eastAsia="Calibri"/>
        </w:rPr>
        <w:t xml:space="preserve">3. за които са налице следните обстоятелства: </w:t>
      </w:r>
    </w:p>
    <w:p w14:paraId="2D70BDCA" w14:textId="77777777" w:rsidR="00144CAB" w:rsidRPr="00144CAB" w:rsidRDefault="00144CAB" w:rsidP="00144CAB">
      <w:pPr>
        <w:pStyle w:val="ListParagraph"/>
        <w:tabs>
          <w:tab w:val="left" w:pos="720"/>
        </w:tabs>
        <w:spacing w:after="120"/>
        <w:ind w:left="284"/>
        <w:jc w:val="both"/>
        <w:rPr>
          <w:rFonts w:eastAsia="Calibri"/>
        </w:rPr>
      </w:pPr>
      <w:r w:rsidRPr="00144CAB">
        <w:rPr>
          <w:rFonts w:eastAsia="Calibri"/>
        </w:rPr>
        <w:t xml:space="preserve">3.1. обявен е в несъстоятелност; </w:t>
      </w:r>
    </w:p>
    <w:p w14:paraId="592DA754" w14:textId="77777777" w:rsidR="00144CAB" w:rsidRPr="00144CAB" w:rsidRDefault="00144CAB" w:rsidP="00144CAB">
      <w:pPr>
        <w:pStyle w:val="ListParagraph"/>
        <w:tabs>
          <w:tab w:val="left" w:pos="720"/>
        </w:tabs>
        <w:spacing w:after="120"/>
        <w:ind w:left="284"/>
        <w:jc w:val="both"/>
        <w:rPr>
          <w:rFonts w:eastAsia="Calibri"/>
        </w:rPr>
      </w:pPr>
      <w:r w:rsidRPr="00144CAB">
        <w:rPr>
          <w:rFonts w:eastAsia="Calibri"/>
        </w:rPr>
        <w:t xml:space="preserve">3.2. в производство по несъстоятелност е; </w:t>
      </w:r>
    </w:p>
    <w:p w14:paraId="47791D27" w14:textId="7B0B8DE3" w:rsidR="00144CAB" w:rsidRDefault="00144CAB" w:rsidP="00144CAB">
      <w:pPr>
        <w:pStyle w:val="ListParagraph"/>
        <w:tabs>
          <w:tab w:val="left" w:pos="720"/>
        </w:tabs>
        <w:spacing w:after="120"/>
        <w:ind w:left="284"/>
        <w:jc w:val="both"/>
        <w:rPr>
          <w:rFonts w:eastAsia="Calibri"/>
        </w:rPr>
      </w:pPr>
      <w:r w:rsidRPr="00144CAB">
        <w:rPr>
          <w:rFonts w:eastAsia="Calibri"/>
        </w:rPr>
        <w:t xml:space="preserve">3.3. в процедура по ликвидация; </w:t>
      </w:r>
    </w:p>
    <w:p w14:paraId="0EE07B52" w14:textId="6CB7768E" w:rsidR="006421A0" w:rsidRPr="00144CAB" w:rsidRDefault="006421A0" w:rsidP="00144CAB">
      <w:pPr>
        <w:pStyle w:val="ListParagraph"/>
        <w:tabs>
          <w:tab w:val="left" w:pos="720"/>
        </w:tabs>
        <w:spacing w:after="120"/>
        <w:ind w:left="284"/>
        <w:jc w:val="both"/>
        <w:rPr>
          <w:rFonts w:eastAsia="Calibri"/>
        </w:rPr>
      </w:pPr>
      <w:r>
        <w:rPr>
          <w:rFonts w:eastAsia="Calibri"/>
        </w:rPr>
        <w:t xml:space="preserve">3.4 </w:t>
      </w:r>
      <w:r w:rsidRPr="006421A0">
        <w:rPr>
          <w:rFonts w:eastAsia="Calibri"/>
        </w:rPr>
        <w:t>не се намира в подобно положение, произтичащо от сходна на горепосочените процедури, съгласно законодателството на държавата, в която е установен;</w:t>
      </w:r>
    </w:p>
    <w:p w14:paraId="0C6040A1" w14:textId="054F29E4" w:rsidR="00144CAB" w:rsidRPr="00144CAB" w:rsidRDefault="00144CAB" w:rsidP="00144CAB">
      <w:pPr>
        <w:pStyle w:val="ListParagraph"/>
        <w:tabs>
          <w:tab w:val="left" w:pos="720"/>
        </w:tabs>
        <w:spacing w:after="120"/>
        <w:ind w:left="284"/>
        <w:jc w:val="both"/>
        <w:rPr>
          <w:rFonts w:eastAsia="Calibri"/>
        </w:rPr>
      </w:pPr>
      <w:r w:rsidRPr="00144CAB">
        <w:rPr>
          <w:rFonts w:eastAsia="Calibri"/>
        </w:rPr>
        <w:t>3.</w:t>
      </w:r>
      <w:r w:rsidR="006421A0">
        <w:rPr>
          <w:rFonts w:eastAsia="Calibri"/>
        </w:rPr>
        <w:t>5</w:t>
      </w:r>
      <w:r w:rsidRPr="00144CAB">
        <w:rPr>
          <w:rFonts w:eastAsia="Calibri"/>
        </w:rPr>
        <w:t>. опитал се е да:</w:t>
      </w:r>
    </w:p>
    <w:p w14:paraId="639C23B2" w14:textId="1181CB87" w:rsidR="00144CAB" w:rsidRPr="00144CAB" w:rsidRDefault="00144CAB" w:rsidP="00144CAB">
      <w:pPr>
        <w:pStyle w:val="ListParagraph"/>
        <w:tabs>
          <w:tab w:val="left" w:pos="720"/>
        </w:tabs>
        <w:spacing w:after="120"/>
        <w:ind w:left="284"/>
        <w:jc w:val="both"/>
        <w:rPr>
          <w:rFonts w:eastAsia="Calibri"/>
        </w:rPr>
      </w:pPr>
      <w:r w:rsidRPr="00144CAB">
        <w:rPr>
          <w:rFonts w:eastAsia="Calibri"/>
        </w:rPr>
        <w:t xml:space="preserve">- повлияе на вземането на решение от страна на Структурата за наблюдение и докладване (НФК) </w:t>
      </w:r>
      <w:r>
        <w:rPr>
          <w:rFonts w:eastAsia="Calibri"/>
        </w:rPr>
        <w:t xml:space="preserve"> и на общината бенефициент</w:t>
      </w:r>
      <w:r w:rsidR="006421A0">
        <w:rPr>
          <w:rFonts w:eastAsia="Calibri"/>
        </w:rPr>
        <w:t>/краен получател</w:t>
      </w:r>
      <w:r>
        <w:rPr>
          <w:rFonts w:eastAsia="Calibri"/>
        </w:rPr>
        <w:t xml:space="preserve"> </w:t>
      </w:r>
      <w:r w:rsidRPr="00144CAB">
        <w:rPr>
          <w:rFonts w:eastAsia="Calibri"/>
        </w:rPr>
        <w:t xml:space="preserve">по процедурата, свързано с отстраняването, подбора или възлагането, включително чрез предоставяне на невярна или заблуждаваща информация; </w:t>
      </w:r>
    </w:p>
    <w:p w14:paraId="7812613E" w14:textId="77777777" w:rsidR="00144CAB" w:rsidRPr="00144CAB" w:rsidRDefault="00144CAB" w:rsidP="00144CAB">
      <w:pPr>
        <w:pStyle w:val="ListParagraph"/>
        <w:tabs>
          <w:tab w:val="left" w:pos="720"/>
        </w:tabs>
        <w:spacing w:after="120"/>
        <w:ind w:left="284"/>
        <w:jc w:val="both"/>
        <w:rPr>
          <w:rFonts w:eastAsia="Calibri"/>
        </w:rPr>
      </w:pPr>
      <w:r w:rsidRPr="00144CAB">
        <w:rPr>
          <w:rFonts w:eastAsia="Calibri"/>
        </w:rPr>
        <w:t>- получи информация, която може да му даде неоснователно предимство в процедурата за предоставяне на средства.</w:t>
      </w:r>
    </w:p>
    <w:p w14:paraId="742971D8" w14:textId="4906BD02" w:rsidR="00144CAB" w:rsidRPr="00144CAB" w:rsidRDefault="00144CAB" w:rsidP="00144CAB">
      <w:pPr>
        <w:pStyle w:val="ListParagraph"/>
        <w:tabs>
          <w:tab w:val="left" w:pos="720"/>
        </w:tabs>
        <w:spacing w:after="120"/>
        <w:ind w:left="284"/>
        <w:jc w:val="both"/>
        <w:rPr>
          <w:rFonts w:eastAsia="Calibri"/>
        </w:rPr>
      </w:pPr>
      <w:r w:rsidRPr="00144CAB">
        <w:rPr>
          <w:rFonts w:eastAsia="Calibri"/>
        </w:rPr>
        <w:t>Изискванията по т. 3.</w:t>
      </w:r>
      <w:r w:rsidR="006421A0">
        <w:rPr>
          <w:rFonts w:eastAsia="Calibri"/>
        </w:rPr>
        <w:t>5</w:t>
      </w:r>
      <w:r w:rsidRPr="00144CAB">
        <w:rPr>
          <w:rFonts w:eastAsia="Calibri"/>
        </w:rPr>
        <w:t xml:space="preserve">. се отнасят за лицата, които представляват </w:t>
      </w:r>
      <w:r>
        <w:rPr>
          <w:rFonts w:eastAsia="Calibri"/>
        </w:rPr>
        <w:t xml:space="preserve">културния оператор - </w:t>
      </w:r>
      <w:r w:rsidRPr="00144CAB">
        <w:rPr>
          <w:rFonts w:eastAsia="Calibri"/>
        </w:rPr>
        <w:t>кандидат;</w:t>
      </w:r>
    </w:p>
    <w:p w14:paraId="75016214" w14:textId="77777777" w:rsidR="00144CAB" w:rsidRPr="00144CAB" w:rsidRDefault="00144CAB" w:rsidP="00144CAB">
      <w:pPr>
        <w:pStyle w:val="ListParagraph"/>
        <w:tabs>
          <w:tab w:val="left" w:pos="720"/>
        </w:tabs>
        <w:spacing w:after="120"/>
        <w:ind w:left="284"/>
        <w:jc w:val="both"/>
        <w:rPr>
          <w:rFonts w:eastAsia="Calibri"/>
        </w:rPr>
      </w:pPr>
      <w:r w:rsidRPr="00144CAB">
        <w:rPr>
          <w:rFonts w:eastAsia="Calibri"/>
        </w:rPr>
        <w:t>4. които са в неизпълнение на решение на Европейската комисия по смисъла на чл. 44 от Закона за държавните помощи за възстановяване на предоставената им неправомерна и несъвместима държавна помощ или неправилно използвана държавна помощ;</w:t>
      </w:r>
    </w:p>
    <w:p w14:paraId="511C87C9" w14:textId="77777777" w:rsidR="00144CAB" w:rsidRPr="00144CAB" w:rsidRDefault="00144CAB" w:rsidP="00144CAB">
      <w:pPr>
        <w:pStyle w:val="ListParagraph"/>
        <w:tabs>
          <w:tab w:val="left" w:pos="720"/>
        </w:tabs>
        <w:spacing w:after="120"/>
        <w:ind w:left="284"/>
        <w:jc w:val="both"/>
        <w:rPr>
          <w:rFonts w:eastAsia="Calibri"/>
        </w:rPr>
      </w:pPr>
      <w:r w:rsidRPr="00144CAB">
        <w:rPr>
          <w:rFonts w:eastAsia="Calibri"/>
        </w:rPr>
        <w:t>5. спрямо които е установено с влязъл в сила административен акт наличието на недължимо платени и/или надплатени суми, както и неправомерно получени и/или неправомерно усвоени средства по проекти, финансирани от предприсъединителните финансови инструменти, оперативните програми, Структурните фондове и Кохезионния фонд на Европейския съюз, европейските земеделски фондове и Европейския фонд за рибарството, Инструмента Шенген и Преходния финансов инструмент, включително от свързаното с тях национално съфинансиране.</w:t>
      </w:r>
    </w:p>
    <w:p w14:paraId="4E9200DC" w14:textId="77777777" w:rsidR="00144CAB" w:rsidRPr="00144CAB" w:rsidRDefault="00144CAB" w:rsidP="00144CAB">
      <w:pPr>
        <w:pStyle w:val="ListParagraph"/>
        <w:tabs>
          <w:tab w:val="left" w:pos="720"/>
        </w:tabs>
        <w:spacing w:after="120"/>
        <w:ind w:left="284"/>
        <w:jc w:val="both"/>
        <w:rPr>
          <w:rFonts w:eastAsia="Calibri"/>
        </w:rPr>
      </w:pPr>
      <w:r w:rsidRPr="00144CAB">
        <w:rPr>
          <w:rFonts w:eastAsia="Calibri"/>
        </w:rPr>
        <w:lastRenderedPageBreak/>
        <w:t>Горепосоченото ограничение касае само вземания, произтичащи от недължимо платени и/или надплатени суми, както и неправомерно получени и/или неправомерно усвоени средства по предложения за изпълнение на инвестиции, финансирани от предприсъединителните финансови инструменти, оперативните програми, Структурните фондове и Кохезионния фонд на Европейския съюз, Европейските земеделски фондове и Европейския фонд за рибарството, Инструмента Шенген и Преходния финансов инструмент, които към момента на кандидатстване не са изплатени към съответната финансираща институция. Издаването на акт за установяване на публично държавно вземане само по себе си не е основание за отстраняване на кандидата за недопустимост, ако установеното вземане е погасено.</w:t>
      </w:r>
    </w:p>
    <w:p w14:paraId="5237E5C4" w14:textId="26543DD9" w:rsidR="00144CAB" w:rsidRPr="00144CAB" w:rsidRDefault="00144CAB" w:rsidP="00144CAB">
      <w:pPr>
        <w:pStyle w:val="ListParagraph"/>
        <w:tabs>
          <w:tab w:val="left" w:pos="720"/>
        </w:tabs>
        <w:spacing w:after="120"/>
        <w:ind w:left="284"/>
        <w:jc w:val="both"/>
        <w:rPr>
          <w:rFonts w:eastAsia="Calibri"/>
        </w:rPr>
      </w:pPr>
      <w:r w:rsidRPr="00144CAB">
        <w:rPr>
          <w:rFonts w:eastAsia="Calibri"/>
        </w:rPr>
        <w:t>Изискванията по т. 4 се прилагат и на равнище група – както за предприятието-кандидат, така и за предприятията, с които кандидатът формира група предприятия (разгледани в цялост). Проверката и определянето на „група“ се извършва по отношение на предприятие майка и всички негови дъщерни предприятия, като: „предприятие майка“ означава предприятие, което контролира едно или повече дъщерни предприятия и съответно „дъщерно предприятие“ означава предприятие, което се контролира от предприятие майка, включително дъщерно предприятие на крайно предприятие майка. Проверката включва преценка във връзка с наличието на икономически субект (кандидат), имащ общ източник на контрол на основание не само представения консолидиран финансов отчет (за група предприятия), но и наличната информация в публичните регистри (вкл. ТРРЮЛНЦ), отчитайки възможността общия източник на контрол да се осъществява, както от предприятия, така и от физически лица, участващи в управлението им.</w:t>
      </w:r>
    </w:p>
    <w:p w14:paraId="457674FB" w14:textId="0068A5ED" w:rsidR="00144CAB" w:rsidRPr="00144CAB" w:rsidRDefault="00144CAB" w:rsidP="00144CAB">
      <w:pPr>
        <w:pStyle w:val="ListParagraph"/>
        <w:tabs>
          <w:tab w:val="left" w:pos="720"/>
        </w:tabs>
        <w:spacing w:after="120"/>
        <w:ind w:left="284"/>
        <w:jc w:val="both"/>
        <w:rPr>
          <w:rFonts w:eastAsia="Calibri"/>
        </w:rPr>
      </w:pPr>
      <w:r w:rsidRPr="00144CAB">
        <w:rPr>
          <w:rFonts w:eastAsia="Calibri"/>
        </w:rPr>
        <w:t>6. с неизпълнени договорни задължения към НФК</w:t>
      </w:r>
      <w:r>
        <w:rPr>
          <w:rFonts w:eastAsia="Calibri"/>
        </w:rPr>
        <w:t xml:space="preserve"> и общината бенефициент</w:t>
      </w:r>
      <w:r w:rsidRPr="00144CAB">
        <w:rPr>
          <w:rFonts w:eastAsia="Calibri"/>
        </w:rPr>
        <w:t xml:space="preserve"> (нереализирани и неотчетени в срок проекти), вкл. и установено неизпълнение по съдебен ред, както и такива, които следва да възстановяват средства по одобрени, но некоректно реализирани проекти през изминали сесии на НФК</w:t>
      </w:r>
      <w:r>
        <w:rPr>
          <w:rFonts w:eastAsia="Calibri"/>
        </w:rPr>
        <w:t xml:space="preserve"> и общината бенефициент</w:t>
      </w:r>
      <w:r w:rsidRPr="00144CAB">
        <w:rPr>
          <w:rFonts w:eastAsia="Calibri"/>
        </w:rPr>
        <w:t>;</w:t>
      </w:r>
    </w:p>
    <w:p w14:paraId="6C72A6C9" w14:textId="77777777" w:rsidR="00144CAB" w:rsidRPr="00144CAB" w:rsidRDefault="00144CAB" w:rsidP="00144CAB">
      <w:pPr>
        <w:pStyle w:val="ListParagraph"/>
        <w:tabs>
          <w:tab w:val="left" w:pos="720"/>
        </w:tabs>
        <w:spacing w:after="120"/>
        <w:ind w:left="284"/>
        <w:jc w:val="both"/>
        <w:rPr>
          <w:rFonts w:eastAsia="Calibri"/>
        </w:rPr>
      </w:pPr>
      <w:r w:rsidRPr="00144CAB">
        <w:rPr>
          <w:rFonts w:eastAsia="Calibri"/>
        </w:rPr>
        <w:t>7. с ПИИ, които са получили държавна помощ за същите допустими разходи ;</w:t>
      </w:r>
    </w:p>
    <w:p w14:paraId="0990FCEB" w14:textId="522AA285" w:rsidR="00511839" w:rsidRDefault="00144CAB" w:rsidP="00144CAB">
      <w:pPr>
        <w:pStyle w:val="ListParagraph"/>
        <w:tabs>
          <w:tab w:val="left" w:pos="720"/>
        </w:tabs>
        <w:spacing w:after="120"/>
        <w:ind w:left="284"/>
        <w:jc w:val="both"/>
        <w:rPr>
          <w:rFonts w:eastAsia="Calibri"/>
        </w:rPr>
      </w:pPr>
      <w:r w:rsidRPr="00144CAB">
        <w:rPr>
          <w:rFonts w:eastAsia="Calibri"/>
        </w:rPr>
        <w:t xml:space="preserve">8. Кандидатът </w:t>
      </w:r>
      <w:r>
        <w:rPr>
          <w:rFonts w:eastAsia="Calibri"/>
        </w:rPr>
        <w:t xml:space="preserve">културен оператор </w:t>
      </w:r>
      <w:r w:rsidRPr="00144CAB">
        <w:rPr>
          <w:rFonts w:eastAsia="Calibri"/>
        </w:rPr>
        <w:t>няма публични задължения по чл. 162, ал. 2, т. 1 (за данъци, акцизи, мита, задължителни осигурителни вноски и други вноски за бюджета) и т. 7 (по влезли в сила наказателни постановления) от Данъчно-осигурителния процесуален кодекс, и лихвите по тях, към държавата или към общината по седалището на НФК и на кандидата, или аналогични задължения съгласно законодателството на държавата, в която кандидатът е установен, доказани с влязъл в сила акт на компетентен орган, и не е допуснато разсрочване, отсрочване и обезпечение на задълженията, или размерът на неплатените дължими данъци или социалноосигурителни вноски е до 1 на сто от сумата на годишния общ оборот от икономическата му дейност за последната приключена финансова година, но не повече от 50 000 лева</w:t>
      </w:r>
      <w:r>
        <w:rPr>
          <w:rFonts w:eastAsia="Calibri"/>
        </w:rPr>
        <w:t>.</w:t>
      </w:r>
    </w:p>
    <w:p w14:paraId="763D0389" w14:textId="4F765D93" w:rsidR="00F647D2" w:rsidRPr="00D403B8" w:rsidRDefault="00F647D2" w:rsidP="00331257">
      <w:pPr>
        <w:numPr>
          <w:ilvl w:val="0"/>
          <w:numId w:val="1"/>
        </w:numPr>
        <w:spacing w:after="120"/>
        <w:jc w:val="both"/>
        <w:rPr>
          <w:rFonts w:eastAsia="Calibri"/>
        </w:rPr>
      </w:pPr>
      <w:r>
        <w:rPr>
          <w:rFonts w:eastAsia="Calibri"/>
        </w:rPr>
        <w:t xml:space="preserve">Представляващият Културния оператор </w:t>
      </w:r>
      <w:r w:rsidR="005417C2">
        <w:rPr>
          <w:rFonts w:eastAsia="Calibri"/>
        </w:rPr>
        <w:t xml:space="preserve">да </w:t>
      </w:r>
      <w:r>
        <w:rPr>
          <w:rFonts w:eastAsia="Calibri"/>
        </w:rPr>
        <w:t>н</w:t>
      </w:r>
      <w:r w:rsidRPr="00D403B8">
        <w:rPr>
          <w:rFonts w:eastAsia="Calibri"/>
        </w:rPr>
        <w:t>е</w:t>
      </w:r>
      <w:r>
        <w:rPr>
          <w:rFonts w:eastAsia="Calibri"/>
        </w:rPr>
        <w:t xml:space="preserve"> е</w:t>
      </w:r>
      <w:r w:rsidRPr="00D403B8">
        <w:rPr>
          <w:rFonts w:eastAsia="Calibri"/>
        </w:rPr>
        <w:t xml:space="preserve"> осъден/а с влязла в сила присъда за:</w:t>
      </w:r>
    </w:p>
    <w:p w14:paraId="48A9B3B0" w14:textId="7A9CD173" w:rsidR="00F647D2" w:rsidRDefault="00042044" w:rsidP="00F647D2">
      <w:pPr>
        <w:pStyle w:val="ListParagraph"/>
        <w:tabs>
          <w:tab w:val="left" w:pos="720"/>
        </w:tabs>
        <w:spacing w:after="120"/>
        <w:ind w:left="284"/>
        <w:jc w:val="both"/>
        <w:rPr>
          <w:rFonts w:eastAsia="Calibri"/>
        </w:rPr>
      </w:pPr>
      <w:proofErr w:type="spellStart"/>
      <w:r>
        <w:rPr>
          <w:rFonts w:eastAsia="Calibri"/>
          <w:lang w:val="en-US"/>
        </w:rPr>
        <w:t>i</w:t>
      </w:r>
      <w:proofErr w:type="spellEnd"/>
      <w:r>
        <w:rPr>
          <w:rFonts w:eastAsia="Calibri"/>
        </w:rPr>
        <w:t>) -</w:t>
      </w:r>
      <w:r w:rsidR="00F647D2" w:rsidRPr="00D403B8">
        <w:rPr>
          <w:rFonts w:eastAsia="Calibri"/>
        </w:rPr>
        <w:t>престъпление по чл. 108а, чл. 159а – 159г, чл. 172, чл. 192а, чл. 194 – 217, чл. 219 – 252, чл. 253 – 260, чл. 301 – 307, чл. 321, 321а и чл. 352 – 353е от Наказателния кодекс</w:t>
      </w:r>
    </w:p>
    <w:p w14:paraId="0C4D4182" w14:textId="347B8DFC" w:rsidR="00042044" w:rsidRDefault="00042044" w:rsidP="00F647D2">
      <w:pPr>
        <w:pStyle w:val="ListParagraph"/>
        <w:tabs>
          <w:tab w:val="left" w:pos="720"/>
        </w:tabs>
        <w:spacing w:after="120"/>
        <w:ind w:left="284"/>
        <w:jc w:val="both"/>
        <w:rPr>
          <w:rFonts w:eastAsia="Calibri"/>
        </w:rPr>
      </w:pPr>
      <w:r>
        <w:rPr>
          <w:rFonts w:eastAsia="Calibri"/>
          <w:lang w:val="en-US"/>
        </w:rPr>
        <w:t>ii</w:t>
      </w:r>
      <w:r>
        <w:rPr>
          <w:rFonts w:eastAsia="Calibri"/>
        </w:rPr>
        <w:t>)-</w:t>
      </w:r>
      <w:r w:rsidRPr="00D403B8">
        <w:rPr>
          <w:rFonts w:eastAsia="Calibri"/>
        </w:rPr>
        <w:t>престъпление, аналогично на тези по т. i), в друга държава членка или трета страна</w:t>
      </w:r>
    </w:p>
    <w:p w14:paraId="4B1D0AD8" w14:textId="77777777" w:rsidR="00583C3B" w:rsidRDefault="00583C3B" w:rsidP="00F647D2">
      <w:pPr>
        <w:pStyle w:val="ListParagraph"/>
        <w:tabs>
          <w:tab w:val="left" w:pos="720"/>
        </w:tabs>
        <w:spacing w:after="120"/>
        <w:ind w:left="284"/>
        <w:jc w:val="both"/>
        <w:rPr>
          <w:rFonts w:eastAsia="Calibri"/>
        </w:rPr>
      </w:pPr>
    </w:p>
    <w:p w14:paraId="4CB142B3" w14:textId="77777777" w:rsidR="00583C3B" w:rsidRDefault="00583C3B" w:rsidP="00F647D2">
      <w:pPr>
        <w:pStyle w:val="ListParagraph"/>
        <w:tabs>
          <w:tab w:val="left" w:pos="720"/>
        </w:tabs>
        <w:spacing w:after="120"/>
        <w:ind w:left="284"/>
        <w:jc w:val="both"/>
        <w:rPr>
          <w:rFonts w:eastAsia="Calibri"/>
        </w:rPr>
      </w:pPr>
    </w:p>
    <w:p w14:paraId="0302BD24" w14:textId="3EA7F708" w:rsidR="005417C2" w:rsidRDefault="00583C3B" w:rsidP="00F647D2">
      <w:pPr>
        <w:pStyle w:val="ListParagraph"/>
        <w:tabs>
          <w:tab w:val="left" w:pos="720"/>
        </w:tabs>
        <w:spacing w:after="120"/>
        <w:ind w:left="284"/>
        <w:jc w:val="both"/>
        <w:rPr>
          <w:rFonts w:eastAsia="Calibri"/>
        </w:rPr>
      </w:pPr>
      <w:r w:rsidRPr="00583C3B">
        <w:rPr>
          <w:rFonts w:eastAsia="Calibri"/>
        </w:rPr>
        <w:lastRenderedPageBreak/>
        <w:t xml:space="preserve">При избора на културни оператори всяка община трябва да спазва принципите за добро финансово управление и прозрачност, определени в Регламент (ЕС, Евратом) </w:t>
      </w:r>
      <w:r w:rsidR="00F82A6B" w:rsidRPr="00F82A6B">
        <w:rPr>
          <w:rFonts w:eastAsia="Calibri"/>
        </w:rPr>
        <w:t>2024/2509 на Европейския парламент и на Съвета от от 23 септември 2024 година за финансовите правила, приложими за общия бюджет на Съюза</w:t>
      </w:r>
      <w:r w:rsidR="00F82A6B">
        <w:rPr>
          <w:rFonts w:eastAsia="Calibri"/>
        </w:rPr>
        <w:t xml:space="preserve"> в </w:t>
      </w:r>
      <w:r w:rsidR="00F82A6B" w:rsidRPr="00F82A6B">
        <w:rPr>
          <w:rFonts w:eastAsia="Calibri"/>
        </w:rPr>
        <w:t>чл. 33 и чл.191 и чл.192 от същия</w:t>
      </w:r>
      <w:r w:rsidR="00F82A6B">
        <w:rPr>
          <w:rFonts w:eastAsia="Calibri"/>
        </w:rPr>
        <w:t>:</w:t>
      </w:r>
    </w:p>
    <w:p w14:paraId="7F78F0E0" w14:textId="77777777" w:rsidR="00F82A6B" w:rsidRDefault="00F82A6B" w:rsidP="00F647D2">
      <w:pPr>
        <w:pStyle w:val="ListParagraph"/>
        <w:tabs>
          <w:tab w:val="left" w:pos="720"/>
        </w:tabs>
        <w:spacing w:after="120"/>
        <w:ind w:left="284"/>
        <w:jc w:val="both"/>
        <w:rPr>
          <w:rFonts w:eastAsia="Calibri"/>
        </w:rPr>
      </w:pPr>
    </w:p>
    <w:p w14:paraId="44F99829" w14:textId="77777777" w:rsidR="00E15C37" w:rsidRPr="00E15C37" w:rsidRDefault="00F82A6B" w:rsidP="00E15C37">
      <w:pPr>
        <w:pStyle w:val="ListParagraph"/>
        <w:numPr>
          <w:ilvl w:val="0"/>
          <w:numId w:val="36"/>
        </w:numPr>
        <w:tabs>
          <w:tab w:val="left" w:pos="720"/>
        </w:tabs>
        <w:spacing w:after="120"/>
        <w:jc w:val="both"/>
        <w:rPr>
          <w:rFonts w:eastAsia="Calibri"/>
        </w:rPr>
      </w:pPr>
      <w:r>
        <w:rPr>
          <w:rFonts w:eastAsia="Calibri"/>
        </w:rPr>
        <w:t>Чл. 33</w:t>
      </w:r>
      <w:r w:rsidR="00E15C37">
        <w:rPr>
          <w:rFonts w:eastAsia="Calibri"/>
        </w:rPr>
        <w:t xml:space="preserve"> </w:t>
      </w:r>
      <w:r w:rsidR="00E15C37" w:rsidRPr="00E15C37">
        <w:rPr>
          <w:rFonts w:eastAsia="Calibri"/>
        </w:rPr>
        <w:t>Ориентирано към резултатите изпълнение и принципи на икономичност, ефикасност и ефективност</w:t>
      </w:r>
    </w:p>
    <w:p w14:paraId="16D428E7" w14:textId="77777777" w:rsidR="00E15C37" w:rsidRPr="00E15C37" w:rsidRDefault="00E15C37" w:rsidP="00E15C37">
      <w:pPr>
        <w:pStyle w:val="ListParagraph"/>
        <w:tabs>
          <w:tab w:val="left" w:pos="720"/>
        </w:tabs>
        <w:spacing w:after="120"/>
        <w:ind w:left="644"/>
        <w:jc w:val="both"/>
        <w:rPr>
          <w:rFonts w:eastAsia="Calibri"/>
        </w:rPr>
      </w:pPr>
      <w:r w:rsidRPr="00E15C37">
        <w:rPr>
          <w:rFonts w:eastAsia="Calibri"/>
        </w:rPr>
        <w:t>1.   Бюджетните кредити се използват в съответствие с принципа на добро финансово управление и следователно се изпълняват, като се спазват следните принципи:</w:t>
      </w:r>
    </w:p>
    <w:p w14:paraId="78B98E7B" w14:textId="58E40537" w:rsidR="00E15C37" w:rsidRPr="00E15C37" w:rsidRDefault="00E15C37" w:rsidP="00E15C37">
      <w:pPr>
        <w:pStyle w:val="ListParagraph"/>
        <w:tabs>
          <w:tab w:val="left" w:pos="720"/>
        </w:tabs>
        <w:spacing w:after="120"/>
        <w:ind w:left="644"/>
        <w:jc w:val="both"/>
        <w:rPr>
          <w:rFonts w:eastAsia="Calibri"/>
        </w:rPr>
      </w:pPr>
      <w:r w:rsidRPr="00E15C37">
        <w:rPr>
          <w:rFonts w:eastAsia="Calibri"/>
        </w:rPr>
        <w:t>а)</w:t>
      </w:r>
      <w:r>
        <w:rPr>
          <w:rFonts w:eastAsia="Calibri"/>
        </w:rPr>
        <w:t xml:space="preserve"> </w:t>
      </w:r>
      <w:r w:rsidRPr="00E15C37">
        <w:rPr>
          <w:rFonts w:eastAsia="Calibri"/>
        </w:rPr>
        <w:t>принципа на икономичност, според който ресурсите, използвани от съответната институция на Съюза за осъществяване на нейните дейности, се предоставят своевременно, в подходящо количество и качество и на най-добрата цена;</w:t>
      </w:r>
    </w:p>
    <w:p w14:paraId="5FB1858B" w14:textId="65D2947E" w:rsidR="00E15C37" w:rsidRPr="00E15C37" w:rsidRDefault="00E15C37" w:rsidP="00E15C37">
      <w:pPr>
        <w:pStyle w:val="ListParagraph"/>
        <w:tabs>
          <w:tab w:val="left" w:pos="720"/>
        </w:tabs>
        <w:spacing w:after="120"/>
        <w:ind w:left="644"/>
        <w:jc w:val="both"/>
        <w:rPr>
          <w:rFonts w:eastAsia="Calibri"/>
        </w:rPr>
      </w:pPr>
      <w:r w:rsidRPr="00E15C37">
        <w:rPr>
          <w:rFonts w:eastAsia="Calibri"/>
        </w:rPr>
        <w:t>б)</w:t>
      </w:r>
      <w:r>
        <w:rPr>
          <w:rFonts w:eastAsia="Calibri"/>
        </w:rPr>
        <w:t xml:space="preserve"> </w:t>
      </w:r>
      <w:r w:rsidRPr="00E15C37">
        <w:rPr>
          <w:rFonts w:eastAsia="Calibri"/>
        </w:rPr>
        <w:t>принципа на ефикасност, който е свързан с най-доброто съотношение между използваните ресурси, предприетите дейности и постигането на целите;</w:t>
      </w:r>
    </w:p>
    <w:p w14:paraId="26CED82C" w14:textId="7D1AC14D" w:rsidR="00E15C37" w:rsidRPr="00E15C37" w:rsidRDefault="00E15C37" w:rsidP="00E15C37">
      <w:pPr>
        <w:pStyle w:val="ListParagraph"/>
        <w:tabs>
          <w:tab w:val="left" w:pos="720"/>
        </w:tabs>
        <w:spacing w:after="120"/>
        <w:ind w:left="644"/>
        <w:jc w:val="both"/>
        <w:rPr>
          <w:rFonts w:eastAsia="Calibri"/>
        </w:rPr>
      </w:pPr>
      <w:r w:rsidRPr="00E15C37">
        <w:rPr>
          <w:rFonts w:eastAsia="Calibri"/>
        </w:rPr>
        <w:t>в)</w:t>
      </w:r>
      <w:r>
        <w:rPr>
          <w:rFonts w:eastAsia="Calibri"/>
        </w:rPr>
        <w:t xml:space="preserve"> </w:t>
      </w:r>
      <w:r w:rsidRPr="00E15C37">
        <w:rPr>
          <w:rFonts w:eastAsia="Calibri"/>
        </w:rPr>
        <w:t>принципа на ефективност, който е свързан със степента, в която се постигат поставените цели посредством предприетите дейности.</w:t>
      </w:r>
    </w:p>
    <w:p w14:paraId="26CE78C3" w14:textId="77777777" w:rsidR="00E15C37" w:rsidRPr="00E15C37" w:rsidRDefault="00E15C37" w:rsidP="00E15C37">
      <w:pPr>
        <w:pStyle w:val="ListParagraph"/>
        <w:tabs>
          <w:tab w:val="left" w:pos="720"/>
        </w:tabs>
        <w:spacing w:after="120"/>
        <w:ind w:left="644"/>
        <w:jc w:val="both"/>
        <w:rPr>
          <w:rFonts w:eastAsia="Calibri"/>
        </w:rPr>
      </w:pPr>
      <w:r w:rsidRPr="00E15C37">
        <w:rPr>
          <w:rFonts w:eastAsia="Calibri"/>
        </w:rPr>
        <w:t>2.   В съответствие с принципа на добро финансово управление използването на бюджетните кредити се съсредоточава върху ориентираното към резултатите изпълнение и за тази цел:</w:t>
      </w:r>
    </w:p>
    <w:p w14:paraId="3A9CC4FB" w14:textId="6CE9A83D" w:rsidR="00E15C37" w:rsidRPr="00E15C37" w:rsidRDefault="00E15C37" w:rsidP="00E15C37">
      <w:pPr>
        <w:pStyle w:val="ListParagraph"/>
        <w:tabs>
          <w:tab w:val="left" w:pos="720"/>
        </w:tabs>
        <w:spacing w:after="120"/>
        <w:ind w:left="644"/>
        <w:jc w:val="both"/>
        <w:rPr>
          <w:rFonts w:eastAsia="Calibri"/>
        </w:rPr>
      </w:pPr>
      <w:r w:rsidRPr="00E15C37">
        <w:rPr>
          <w:rFonts w:eastAsia="Calibri"/>
        </w:rPr>
        <w:t>а)</w:t>
      </w:r>
      <w:r>
        <w:rPr>
          <w:rFonts w:eastAsia="Calibri"/>
        </w:rPr>
        <w:t xml:space="preserve"> </w:t>
      </w:r>
      <w:r w:rsidRPr="00E15C37">
        <w:rPr>
          <w:rFonts w:eastAsia="Calibri"/>
        </w:rPr>
        <w:t>целите на програмите и на дейностите се определят предварително;</w:t>
      </w:r>
    </w:p>
    <w:p w14:paraId="5020EE84" w14:textId="31C59F7D" w:rsidR="00E15C37" w:rsidRPr="00E15C37" w:rsidRDefault="00E15C37" w:rsidP="00E15C37">
      <w:pPr>
        <w:pStyle w:val="ListParagraph"/>
        <w:tabs>
          <w:tab w:val="left" w:pos="720"/>
        </w:tabs>
        <w:spacing w:after="120"/>
        <w:ind w:left="644"/>
        <w:jc w:val="both"/>
        <w:rPr>
          <w:rFonts w:eastAsia="Calibri"/>
        </w:rPr>
      </w:pPr>
      <w:r w:rsidRPr="00E15C37">
        <w:rPr>
          <w:rFonts w:eastAsia="Calibri"/>
        </w:rPr>
        <w:t>б)</w:t>
      </w:r>
      <w:r>
        <w:rPr>
          <w:rFonts w:eastAsia="Calibri"/>
        </w:rPr>
        <w:t xml:space="preserve"> </w:t>
      </w:r>
      <w:r w:rsidRPr="00E15C37">
        <w:rPr>
          <w:rFonts w:eastAsia="Calibri"/>
        </w:rPr>
        <w:t>напредъкът по отношение на постигането на целите, включително интегрираните, по целесъобразност, подлежи на мониторинг посредством показатели за изпълнението;</w:t>
      </w:r>
    </w:p>
    <w:p w14:paraId="1E93AA29" w14:textId="56E322D4" w:rsidR="00E15C37" w:rsidRPr="00E15C37" w:rsidRDefault="00E15C37" w:rsidP="00E15C37">
      <w:pPr>
        <w:pStyle w:val="ListParagraph"/>
        <w:tabs>
          <w:tab w:val="left" w:pos="720"/>
        </w:tabs>
        <w:spacing w:after="120"/>
        <w:ind w:left="644"/>
        <w:jc w:val="both"/>
        <w:rPr>
          <w:rFonts w:eastAsia="Calibri"/>
        </w:rPr>
      </w:pPr>
      <w:r w:rsidRPr="00E15C37">
        <w:rPr>
          <w:rFonts w:eastAsia="Calibri"/>
        </w:rPr>
        <w:t>в)</w:t>
      </w:r>
      <w:r>
        <w:rPr>
          <w:rFonts w:eastAsia="Calibri"/>
        </w:rPr>
        <w:t xml:space="preserve"> </w:t>
      </w:r>
      <w:r w:rsidRPr="00E15C37">
        <w:rPr>
          <w:rFonts w:eastAsia="Calibri"/>
        </w:rPr>
        <w:t>напредъкът по постигането на целите, както и проблемите във връзка с това, се съобщават на Европейския парламент и на Съвета в съответствие с член 41, параграф 3, първа алинея, буква з) и член 253, параграф 1, буква д);</w:t>
      </w:r>
    </w:p>
    <w:p w14:paraId="6A0A0C9E" w14:textId="723A31D6" w:rsidR="00E15C37" w:rsidRPr="00E15C37" w:rsidRDefault="00E15C37" w:rsidP="00E15C37">
      <w:pPr>
        <w:pStyle w:val="ListParagraph"/>
        <w:tabs>
          <w:tab w:val="left" w:pos="720"/>
        </w:tabs>
        <w:spacing w:after="120"/>
        <w:ind w:left="644"/>
        <w:jc w:val="both"/>
        <w:rPr>
          <w:rFonts w:eastAsia="Calibri"/>
        </w:rPr>
      </w:pPr>
      <w:r w:rsidRPr="00E15C37">
        <w:rPr>
          <w:rFonts w:eastAsia="Calibri"/>
        </w:rPr>
        <w:t>г)</w:t>
      </w:r>
      <w:r>
        <w:rPr>
          <w:rFonts w:eastAsia="Calibri"/>
        </w:rPr>
        <w:t xml:space="preserve"> </w:t>
      </w:r>
      <w:r w:rsidRPr="00E15C37">
        <w:rPr>
          <w:rFonts w:eastAsia="Calibri"/>
        </w:rPr>
        <w:t>програмите и дейностите се изпълняват, когато това е осъществимо и целесъобразно съгласно съответните секторни разпоредби, за постигане на поставените цели, без съществено да се накърняват посочените в член 9 от Регламент (ЕС) 2020/852 на Европейския парламент и на Съвета екологични цели — смекчаване на последиците от изменението на климата, адаптиране към изменението на климата, устойчиво използване и опазване на водните и морските ресурси, преход към кръгова икономика, предотвратяване и контрол на замърсяването и защита и възстановяване на биоразнообразието и екосистемите (44);</w:t>
      </w:r>
    </w:p>
    <w:p w14:paraId="5BC6DBE7" w14:textId="3171DAD1" w:rsidR="00E15C37" w:rsidRPr="00E15C37" w:rsidRDefault="00E15C37" w:rsidP="00E15C37">
      <w:pPr>
        <w:pStyle w:val="ListParagraph"/>
        <w:tabs>
          <w:tab w:val="left" w:pos="720"/>
        </w:tabs>
        <w:spacing w:after="120"/>
        <w:ind w:left="644"/>
        <w:jc w:val="both"/>
        <w:rPr>
          <w:rFonts w:eastAsia="Calibri"/>
        </w:rPr>
      </w:pPr>
      <w:r w:rsidRPr="00E15C37">
        <w:rPr>
          <w:rFonts w:eastAsia="Calibri"/>
        </w:rPr>
        <w:t>д)</w:t>
      </w:r>
      <w:r>
        <w:rPr>
          <w:rFonts w:eastAsia="Calibri"/>
        </w:rPr>
        <w:t xml:space="preserve"> </w:t>
      </w:r>
      <w:r w:rsidRPr="00E15C37">
        <w:rPr>
          <w:rFonts w:eastAsia="Calibri"/>
        </w:rPr>
        <w:t>програмите и дейностите се изпълняват, когато това е осъществимо и целесъобразно съгласно съответните секторни разпоредби, за постигане на поставените цели, при спазване на условията на труд и заетост съобразно приложимото национално право, правото на Съюза, конвенциите на МОТ и колективните трудови договори;</w:t>
      </w:r>
    </w:p>
    <w:p w14:paraId="4E156913" w14:textId="3AA355C6" w:rsidR="00E15C37" w:rsidRPr="00E15C37" w:rsidRDefault="00E15C37" w:rsidP="00E15C37">
      <w:pPr>
        <w:pStyle w:val="ListParagraph"/>
        <w:tabs>
          <w:tab w:val="left" w:pos="720"/>
        </w:tabs>
        <w:spacing w:after="120"/>
        <w:ind w:left="644"/>
        <w:jc w:val="both"/>
        <w:rPr>
          <w:rFonts w:eastAsia="Calibri"/>
        </w:rPr>
      </w:pPr>
      <w:r w:rsidRPr="00E15C37">
        <w:rPr>
          <w:rFonts w:eastAsia="Calibri"/>
        </w:rPr>
        <w:t>е)</w:t>
      </w:r>
      <w:r>
        <w:rPr>
          <w:rFonts w:eastAsia="Calibri"/>
        </w:rPr>
        <w:t xml:space="preserve"> </w:t>
      </w:r>
      <w:r w:rsidRPr="00E15C37">
        <w:rPr>
          <w:rFonts w:eastAsia="Calibri"/>
        </w:rPr>
        <w:t>програмите и дейностите се изпълняват, когато това е осъществимо и целесъобразно съгласно съответните секторни разпоредби, при зачитане на принципа на равенство между половете и в съответствие с подходяща методика за интегриране на принципа на равенство между половете.</w:t>
      </w:r>
    </w:p>
    <w:p w14:paraId="266CE17C" w14:textId="77777777" w:rsidR="00E15C37" w:rsidRPr="00E15C37" w:rsidRDefault="00E15C37" w:rsidP="00E15C37">
      <w:pPr>
        <w:pStyle w:val="ListParagraph"/>
        <w:tabs>
          <w:tab w:val="left" w:pos="720"/>
        </w:tabs>
        <w:spacing w:after="120"/>
        <w:ind w:left="644"/>
        <w:jc w:val="both"/>
        <w:rPr>
          <w:rFonts w:eastAsia="Calibri"/>
        </w:rPr>
      </w:pPr>
    </w:p>
    <w:p w14:paraId="5558E9AF" w14:textId="3A1314E2" w:rsidR="00F82A6B" w:rsidRDefault="00E15C37" w:rsidP="00E15C37">
      <w:pPr>
        <w:pStyle w:val="ListParagraph"/>
        <w:tabs>
          <w:tab w:val="left" w:pos="720"/>
        </w:tabs>
        <w:spacing w:after="120"/>
        <w:ind w:left="644"/>
        <w:jc w:val="both"/>
        <w:rPr>
          <w:rFonts w:eastAsia="Calibri"/>
        </w:rPr>
      </w:pPr>
      <w:r w:rsidRPr="00E15C37">
        <w:rPr>
          <w:rFonts w:eastAsia="Calibri"/>
        </w:rPr>
        <w:lastRenderedPageBreak/>
        <w:t>3.   Когато е целесъобразно, се определят конкретни, измерими, постижими, относими и обвързани със срок (SMART) цели, посочени в параграфи 1 и 2, и показатели, които са подходящи, приемливи, достоверни, прости, стабилни и основани на широко признати научни доказателства и на ефективна, прозрачна и всеобхватна методика. Когато е целесъобразно, данните, събрани във връзка с тези показатели, се представят с разбивка по пол и се събират по начин, който прави възможно агрегирането на такива данни в рамките на всички съответни програми.</w:t>
      </w:r>
    </w:p>
    <w:p w14:paraId="52459D2A" w14:textId="77777777" w:rsidR="00E15C37" w:rsidRDefault="00E15C37" w:rsidP="00E15C37">
      <w:pPr>
        <w:pStyle w:val="ListParagraph"/>
        <w:tabs>
          <w:tab w:val="left" w:pos="720"/>
        </w:tabs>
        <w:spacing w:after="120"/>
        <w:ind w:left="644"/>
        <w:jc w:val="both"/>
        <w:rPr>
          <w:rFonts w:eastAsia="Calibri"/>
        </w:rPr>
      </w:pPr>
    </w:p>
    <w:p w14:paraId="24203D8B" w14:textId="01B70795" w:rsidR="00F82A6B" w:rsidRPr="00F82A6B" w:rsidRDefault="00F82A6B" w:rsidP="00F82A6B">
      <w:pPr>
        <w:pStyle w:val="ListParagraph"/>
        <w:numPr>
          <w:ilvl w:val="0"/>
          <w:numId w:val="36"/>
        </w:numPr>
        <w:tabs>
          <w:tab w:val="left" w:pos="720"/>
        </w:tabs>
        <w:spacing w:after="120"/>
        <w:jc w:val="both"/>
        <w:rPr>
          <w:rFonts w:eastAsia="Calibri"/>
        </w:rPr>
      </w:pPr>
      <w:r w:rsidRPr="00F82A6B">
        <w:rPr>
          <w:rFonts w:eastAsia="Calibri"/>
        </w:rPr>
        <w:t xml:space="preserve">Чл. 191 </w:t>
      </w:r>
      <w:r w:rsidRPr="00F82A6B">
        <w:rPr>
          <w:rFonts w:eastAsia="Calibri"/>
        </w:rPr>
        <w:t>Общи принципи, приложими за безвъзмездните средства</w:t>
      </w:r>
    </w:p>
    <w:p w14:paraId="1E6CAA80" w14:textId="77777777" w:rsidR="00F82A6B" w:rsidRPr="00F82A6B" w:rsidRDefault="00F82A6B" w:rsidP="00F82A6B">
      <w:pPr>
        <w:pStyle w:val="ListParagraph"/>
        <w:tabs>
          <w:tab w:val="left" w:pos="720"/>
        </w:tabs>
        <w:spacing w:after="120"/>
        <w:ind w:left="644"/>
        <w:jc w:val="both"/>
        <w:rPr>
          <w:rFonts w:eastAsia="Calibri"/>
        </w:rPr>
      </w:pPr>
      <w:r w:rsidRPr="00F82A6B">
        <w:rPr>
          <w:rFonts w:eastAsia="Calibri"/>
        </w:rPr>
        <w:t>Безвъзмездните средства се отпускат съобразно принципите на:</w:t>
      </w:r>
    </w:p>
    <w:p w14:paraId="58C71301" w14:textId="6E79B6B8" w:rsidR="00F82A6B" w:rsidRPr="00F82A6B" w:rsidRDefault="00F82A6B" w:rsidP="00F82A6B">
      <w:pPr>
        <w:pStyle w:val="ListParagraph"/>
        <w:tabs>
          <w:tab w:val="left" w:pos="720"/>
        </w:tabs>
        <w:spacing w:after="120"/>
        <w:ind w:left="644"/>
        <w:jc w:val="both"/>
        <w:rPr>
          <w:rFonts w:eastAsia="Calibri"/>
        </w:rPr>
      </w:pPr>
      <w:r w:rsidRPr="00F82A6B">
        <w:rPr>
          <w:rFonts w:eastAsia="Calibri"/>
        </w:rPr>
        <w:t>а)</w:t>
      </w:r>
      <w:r>
        <w:rPr>
          <w:rFonts w:eastAsia="Calibri"/>
        </w:rPr>
        <w:t xml:space="preserve"> </w:t>
      </w:r>
      <w:r w:rsidRPr="00F82A6B">
        <w:rPr>
          <w:rFonts w:eastAsia="Calibri"/>
        </w:rPr>
        <w:t>равно третиране;</w:t>
      </w:r>
    </w:p>
    <w:p w14:paraId="0074B650" w14:textId="764C20B5" w:rsidR="00F82A6B" w:rsidRPr="00F82A6B" w:rsidRDefault="00F82A6B" w:rsidP="00F82A6B">
      <w:pPr>
        <w:pStyle w:val="ListParagraph"/>
        <w:tabs>
          <w:tab w:val="left" w:pos="720"/>
        </w:tabs>
        <w:spacing w:after="120"/>
        <w:ind w:left="644"/>
        <w:jc w:val="both"/>
        <w:rPr>
          <w:rFonts w:eastAsia="Calibri"/>
        </w:rPr>
      </w:pPr>
      <w:r w:rsidRPr="00F82A6B">
        <w:rPr>
          <w:rFonts w:eastAsia="Calibri"/>
        </w:rPr>
        <w:t>б)</w:t>
      </w:r>
      <w:r>
        <w:rPr>
          <w:rFonts w:eastAsia="Calibri"/>
        </w:rPr>
        <w:t xml:space="preserve"> </w:t>
      </w:r>
      <w:r w:rsidRPr="00F82A6B">
        <w:rPr>
          <w:rFonts w:eastAsia="Calibri"/>
        </w:rPr>
        <w:t>прозрачност;</w:t>
      </w:r>
    </w:p>
    <w:p w14:paraId="1D57079A" w14:textId="3A05BF9E" w:rsidR="00F82A6B" w:rsidRPr="00F82A6B" w:rsidRDefault="00F82A6B" w:rsidP="00F82A6B">
      <w:pPr>
        <w:pStyle w:val="ListParagraph"/>
        <w:tabs>
          <w:tab w:val="left" w:pos="720"/>
        </w:tabs>
        <w:spacing w:after="120"/>
        <w:ind w:left="644"/>
        <w:jc w:val="both"/>
        <w:rPr>
          <w:rFonts w:eastAsia="Calibri"/>
        </w:rPr>
      </w:pPr>
      <w:r w:rsidRPr="00F82A6B">
        <w:rPr>
          <w:rFonts w:eastAsia="Calibri"/>
        </w:rPr>
        <w:t>в)</w:t>
      </w:r>
      <w:r>
        <w:rPr>
          <w:rFonts w:eastAsia="Calibri"/>
        </w:rPr>
        <w:t xml:space="preserve"> </w:t>
      </w:r>
      <w:r w:rsidRPr="00F82A6B">
        <w:rPr>
          <w:rFonts w:eastAsia="Calibri"/>
        </w:rPr>
        <w:t>съфинансиране;</w:t>
      </w:r>
    </w:p>
    <w:p w14:paraId="5597F3A7" w14:textId="488D154A" w:rsidR="00F82A6B" w:rsidRPr="00F82A6B" w:rsidRDefault="00F82A6B" w:rsidP="00F82A6B">
      <w:pPr>
        <w:pStyle w:val="ListParagraph"/>
        <w:tabs>
          <w:tab w:val="left" w:pos="720"/>
        </w:tabs>
        <w:spacing w:after="120"/>
        <w:ind w:left="644"/>
        <w:jc w:val="both"/>
        <w:rPr>
          <w:rFonts w:eastAsia="Calibri"/>
        </w:rPr>
      </w:pPr>
      <w:r w:rsidRPr="00F82A6B">
        <w:rPr>
          <w:rFonts w:eastAsia="Calibri"/>
        </w:rPr>
        <w:t>г)</w:t>
      </w:r>
      <w:r>
        <w:rPr>
          <w:rFonts w:eastAsia="Calibri"/>
        </w:rPr>
        <w:t xml:space="preserve"> </w:t>
      </w:r>
      <w:r w:rsidRPr="00F82A6B">
        <w:rPr>
          <w:rFonts w:eastAsia="Calibri"/>
        </w:rPr>
        <w:t>забрана за кумулативно предоставяне и за двойно финансиране;</w:t>
      </w:r>
    </w:p>
    <w:p w14:paraId="13D3C1CE" w14:textId="0D048ABF" w:rsidR="00F82A6B" w:rsidRPr="00F82A6B" w:rsidRDefault="00F82A6B" w:rsidP="00F82A6B">
      <w:pPr>
        <w:pStyle w:val="ListParagraph"/>
        <w:tabs>
          <w:tab w:val="left" w:pos="720"/>
        </w:tabs>
        <w:spacing w:after="120"/>
        <w:ind w:left="644"/>
        <w:jc w:val="both"/>
        <w:rPr>
          <w:rFonts w:eastAsia="Calibri"/>
        </w:rPr>
      </w:pPr>
      <w:r w:rsidRPr="00F82A6B">
        <w:rPr>
          <w:rFonts w:eastAsia="Calibri"/>
        </w:rPr>
        <w:t>д)</w:t>
      </w:r>
      <w:r>
        <w:rPr>
          <w:rFonts w:eastAsia="Calibri"/>
        </w:rPr>
        <w:t xml:space="preserve"> </w:t>
      </w:r>
      <w:r w:rsidRPr="00F82A6B">
        <w:rPr>
          <w:rFonts w:eastAsia="Calibri"/>
        </w:rPr>
        <w:t>забрана за предоставяне със задна дата;</w:t>
      </w:r>
    </w:p>
    <w:p w14:paraId="1DD09B95" w14:textId="53BCF4ED" w:rsidR="00F82A6B" w:rsidRPr="00F82A6B" w:rsidRDefault="00F82A6B" w:rsidP="00F82A6B">
      <w:pPr>
        <w:pStyle w:val="ListParagraph"/>
        <w:tabs>
          <w:tab w:val="left" w:pos="720"/>
        </w:tabs>
        <w:spacing w:after="120"/>
        <w:ind w:left="644"/>
        <w:jc w:val="both"/>
        <w:rPr>
          <w:rFonts w:eastAsia="Calibri"/>
        </w:rPr>
      </w:pPr>
      <w:r w:rsidRPr="00F82A6B">
        <w:rPr>
          <w:rFonts w:eastAsia="Calibri"/>
        </w:rPr>
        <w:t>е)</w:t>
      </w:r>
      <w:r>
        <w:rPr>
          <w:rFonts w:eastAsia="Calibri"/>
        </w:rPr>
        <w:t xml:space="preserve"> </w:t>
      </w:r>
      <w:r w:rsidRPr="00F82A6B">
        <w:rPr>
          <w:rFonts w:eastAsia="Calibri"/>
        </w:rPr>
        <w:t>недопускане на печалба.</w:t>
      </w:r>
    </w:p>
    <w:p w14:paraId="7E21216F" w14:textId="77777777" w:rsidR="00F82A6B" w:rsidRDefault="00F82A6B" w:rsidP="00F647D2">
      <w:pPr>
        <w:pStyle w:val="ListParagraph"/>
        <w:tabs>
          <w:tab w:val="left" w:pos="720"/>
        </w:tabs>
        <w:spacing w:after="120"/>
        <w:ind w:left="284"/>
        <w:jc w:val="both"/>
        <w:rPr>
          <w:rFonts w:eastAsia="Calibri"/>
        </w:rPr>
      </w:pPr>
    </w:p>
    <w:p w14:paraId="7930DA44" w14:textId="77777777" w:rsidR="00F82A6B" w:rsidRPr="00D403B8" w:rsidRDefault="00F82A6B" w:rsidP="00F647D2">
      <w:pPr>
        <w:pStyle w:val="ListParagraph"/>
        <w:tabs>
          <w:tab w:val="left" w:pos="720"/>
        </w:tabs>
        <w:spacing w:after="120"/>
        <w:ind w:left="284"/>
        <w:jc w:val="both"/>
        <w:rPr>
          <w:rFonts w:eastAsia="Calibri"/>
        </w:rPr>
      </w:pPr>
    </w:p>
    <w:sectPr w:rsidR="00F82A6B" w:rsidRPr="00D403B8" w:rsidSect="00DB1701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CD640" w14:textId="77777777" w:rsidR="00C03354" w:rsidRDefault="00C03354" w:rsidP="00682431">
      <w:r>
        <w:separator/>
      </w:r>
    </w:p>
  </w:endnote>
  <w:endnote w:type="continuationSeparator" w:id="0">
    <w:p w14:paraId="221E4351" w14:textId="77777777" w:rsidR="00C03354" w:rsidRDefault="00C03354" w:rsidP="00682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53BB9" w14:textId="0CC0C78A" w:rsidR="00334D1C" w:rsidRPr="00F1193C" w:rsidRDefault="00334D1C">
    <w:pPr>
      <w:pStyle w:val="Footer"/>
      <w:jc w:val="center"/>
      <w:rPr>
        <w:sz w:val="20"/>
        <w:szCs w:val="20"/>
      </w:rPr>
    </w:pPr>
    <w:r w:rsidRPr="00F1193C">
      <w:rPr>
        <w:sz w:val="20"/>
        <w:szCs w:val="20"/>
      </w:rPr>
      <w:fldChar w:fldCharType="begin"/>
    </w:r>
    <w:r w:rsidRPr="00F1193C">
      <w:rPr>
        <w:sz w:val="20"/>
        <w:szCs w:val="20"/>
      </w:rPr>
      <w:instrText xml:space="preserve"> PAGE   \* MERGEFORMAT </w:instrText>
    </w:r>
    <w:r w:rsidRPr="00F1193C">
      <w:rPr>
        <w:sz w:val="20"/>
        <w:szCs w:val="20"/>
      </w:rPr>
      <w:fldChar w:fldCharType="separate"/>
    </w:r>
    <w:r w:rsidR="006255BE">
      <w:rPr>
        <w:noProof/>
        <w:sz w:val="20"/>
        <w:szCs w:val="20"/>
      </w:rPr>
      <w:t>1</w:t>
    </w:r>
    <w:r w:rsidRPr="00F1193C">
      <w:rPr>
        <w:noProof/>
        <w:sz w:val="20"/>
        <w:szCs w:val="20"/>
      </w:rPr>
      <w:fldChar w:fldCharType="end"/>
    </w:r>
  </w:p>
  <w:p w14:paraId="6EE115D3" w14:textId="77777777" w:rsidR="00334D1C" w:rsidRDefault="00334D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875EA" w14:textId="77777777" w:rsidR="00C03354" w:rsidRDefault="00C03354" w:rsidP="00682431">
      <w:r>
        <w:separator/>
      </w:r>
    </w:p>
  </w:footnote>
  <w:footnote w:type="continuationSeparator" w:id="0">
    <w:p w14:paraId="744A6526" w14:textId="77777777" w:rsidR="00C03354" w:rsidRDefault="00C03354" w:rsidP="00682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D3916" w14:textId="7650EAAD" w:rsidR="002433D9" w:rsidRDefault="00F0160D" w:rsidP="00F0160D">
    <w:pPr>
      <w:ind w:firstLine="1843"/>
    </w:pPr>
    <w:r>
      <w:rPr>
        <w:noProof/>
      </w:rPr>
      <w:drawing>
        <wp:inline distT="0" distB="0" distL="0" distR="0" wp14:anchorId="6B2173BE" wp14:editId="0E733F52">
          <wp:extent cx="3314700" cy="838200"/>
          <wp:effectExtent l="0" t="0" r="0" b="0"/>
          <wp:docPr id="2059616059" name="Картина 2059616059" descr="BG Финансирано от Европейския съюз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G Финансирано от Европейския съюз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147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08B1"/>
    <w:multiLevelType w:val="hybridMultilevel"/>
    <w:tmpl w:val="349A76B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9093C"/>
    <w:multiLevelType w:val="hybridMultilevel"/>
    <w:tmpl w:val="4FA2790C"/>
    <w:lvl w:ilvl="0" w:tplc="E14CE3F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3D5C624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A45EF"/>
    <w:multiLevelType w:val="hybridMultilevel"/>
    <w:tmpl w:val="48D22B8E"/>
    <w:lvl w:ilvl="0" w:tplc="279CE33A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2"/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D30787"/>
    <w:multiLevelType w:val="hybridMultilevel"/>
    <w:tmpl w:val="83CEF47A"/>
    <w:lvl w:ilvl="0" w:tplc="E14CE3F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FD54B7"/>
    <w:multiLevelType w:val="hybridMultilevel"/>
    <w:tmpl w:val="AD02D86C"/>
    <w:lvl w:ilvl="0" w:tplc="A0906094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  <w:w w:val="100"/>
        <w:lang w:val="bg-BG" w:eastAsia="en-US" w:bidi="ar-SA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DB23DD"/>
    <w:multiLevelType w:val="hybridMultilevel"/>
    <w:tmpl w:val="5F5E222E"/>
    <w:lvl w:ilvl="0" w:tplc="E14CE3F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FF2A30"/>
    <w:multiLevelType w:val="multilevel"/>
    <w:tmpl w:val="789A4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D8D5665"/>
    <w:multiLevelType w:val="hybridMultilevel"/>
    <w:tmpl w:val="C9707EB2"/>
    <w:lvl w:ilvl="0" w:tplc="FFFFFFFF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DCB6C0C2">
      <w:start w:val="1"/>
      <w:numFmt w:val="lowerRoman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3E7FBA"/>
    <w:multiLevelType w:val="hybridMultilevel"/>
    <w:tmpl w:val="ADCE53B8"/>
    <w:lvl w:ilvl="0" w:tplc="C36E0F64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E20B650">
      <w:start w:val="1"/>
      <w:numFmt w:val="bullet"/>
      <w:lvlText w:val="−"/>
      <w:lvlJc w:val="left"/>
      <w:pPr>
        <w:ind w:left="1080" w:hanging="360"/>
      </w:pPr>
      <w:rPr>
        <w:rFonts w:ascii="Candara" w:eastAsia="Times New Roman" w:hAnsi="Candara" w:cs="Times New Roman" w:hint="default"/>
      </w:rPr>
    </w:lvl>
    <w:lvl w:ilvl="2" w:tplc="DCB6C0C2">
      <w:start w:val="1"/>
      <w:numFmt w:val="lowerRoman"/>
      <w:lvlText w:val="%3)"/>
      <w:lvlJc w:val="left"/>
      <w:pPr>
        <w:ind w:left="2340" w:hanging="720"/>
      </w:pPr>
      <w:rPr>
        <w:rFonts w:hint="default"/>
      </w:r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3D243BF5"/>
    <w:multiLevelType w:val="multilevel"/>
    <w:tmpl w:val="8D3240F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41ED55B3"/>
    <w:multiLevelType w:val="hybridMultilevel"/>
    <w:tmpl w:val="0B32FA30"/>
    <w:lvl w:ilvl="0" w:tplc="E14CE3F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F75DF4"/>
    <w:multiLevelType w:val="hybridMultilevel"/>
    <w:tmpl w:val="52029110"/>
    <w:lvl w:ilvl="0" w:tplc="DFCC4BD4">
      <w:start w:val="2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4D6D1061"/>
    <w:multiLevelType w:val="hybridMultilevel"/>
    <w:tmpl w:val="FCA60F2C"/>
    <w:lvl w:ilvl="0" w:tplc="E75C6516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D05D5"/>
    <w:multiLevelType w:val="hybridMultilevel"/>
    <w:tmpl w:val="BF38611E"/>
    <w:lvl w:ilvl="0" w:tplc="E14CE3F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AB3135"/>
    <w:multiLevelType w:val="hybridMultilevel"/>
    <w:tmpl w:val="FC76C200"/>
    <w:lvl w:ilvl="0" w:tplc="E75C6516">
      <w:start w:val="1"/>
      <w:numFmt w:val="lowerRoman"/>
      <w:lvlText w:val="%1)"/>
      <w:lvlJc w:val="righ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F90BFF"/>
    <w:multiLevelType w:val="hybridMultilevel"/>
    <w:tmpl w:val="B180F242"/>
    <w:lvl w:ilvl="0" w:tplc="E14CE3F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A4CDA"/>
    <w:multiLevelType w:val="hybridMultilevel"/>
    <w:tmpl w:val="3F10BA1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0EA32C0"/>
    <w:multiLevelType w:val="hybridMultilevel"/>
    <w:tmpl w:val="4DC4EB3A"/>
    <w:lvl w:ilvl="0" w:tplc="E14CE3F2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434E53"/>
    <w:multiLevelType w:val="hybridMultilevel"/>
    <w:tmpl w:val="0A70A4E8"/>
    <w:lvl w:ilvl="0" w:tplc="A0906094">
      <w:numFmt w:val="bullet"/>
      <w:lvlText w:val="-"/>
      <w:lvlJc w:val="left"/>
      <w:pPr>
        <w:ind w:left="360" w:hanging="360"/>
      </w:pPr>
      <w:rPr>
        <w:rFonts w:ascii="Verdana" w:eastAsia="Verdana" w:hAnsi="Verdana" w:cs="Verdana" w:hint="default"/>
        <w:w w:val="100"/>
        <w:lang w:val="bg-BG" w:eastAsia="en-US" w:bidi="ar-SA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0983276">
    <w:abstractNumId w:val="8"/>
  </w:num>
  <w:num w:numId="2" w16cid:durableId="1641612052">
    <w:abstractNumId w:val="3"/>
  </w:num>
  <w:num w:numId="3" w16cid:durableId="1625307311">
    <w:abstractNumId w:val="14"/>
  </w:num>
  <w:num w:numId="4" w16cid:durableId="361564565">
    <w:abstractNumId w:val="16"/>
  </w:num>
  <w:num w:numId="5" w16cid:durableId="1057826171">
    <w:abstractNumId w:val="1"/>
  </w:num>
  <w:num w:numId="6" w16cid:durableId="9065759">
    <w:abstractNumId w:val="17"/>
  </w:num>
  <w:num w:numId="7" w16cid:durableId="883178020">
    <w:abstractNumId w:val="7"/>
  </w:num>
  <w:num w:numId="8" w16cid:durableId="2029406452">
    <w:abstractNumId w:val="9"/>
  </w:num>
  <w:num w:numId="9" w16cid:durableId="1208763548">
    <w:abstractNumId w:val="15"/>
  </w:num>
  <w:num w:numId="10" w16cid:durableId="1116947671">
    <w:abstractNumId w:val="11"/>
  </w:num>
  <w:num w:numId="11" w16cid:durableId="1626228887">
    <w:abstractNumId w:val="19"/>
  </w:num>
  <w:num w:numId="12" w16cid:durableId="329404973">
    <w:abstractNumId w:val="4"/>
  </w:num>
  <w:num w:numId="13" w16cid:durableId="1886870304">
    <w:abstractNumId w:val="5"/>
  </w:num>
  <w:num w:numId="14" w16cid:durableId="1694334656">
    <w:abstractNumId w:val="18"/>
  </w:num>
  <w:num w:numId="15" w16cid:durableId="682705168">
    <w:abstractNumId w:val="2"/>
  </w:num>
  <w:num w:numId="16" w16cid:durableId="227153353">
    <w:abstractNumId w:val="13"/>
  </w:num>
  <w:num w:numId="17" w16cid:durableId="535117603">
    <w:abstractNumId w:val="0"/>
  </w:num>
  <w:num w:numId="18" w16cid:durableId="1098410807">
    <w:abstractNumId w:val="10"/>
  </w:num>
  <w:num w:numId="19" w16cid:durableId="1251936307">
    <w:abstractNumId w:val="6"/>
  </w:num>
  <w:num w:numId="20" w16cid:durableId="9402608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57399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801857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1924906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6428286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1828844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468175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6184628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8984386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144879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661752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6009190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9268832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5532745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9441185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49749599">
    <w:abstractNumId w:val="10"/>
    <w:lvlOverride w:ilvl="0">
      <w:startOverride w:val="1"/>
    </w:lvlOverride>
  </w:num>
  <w:num w:numId="36" w16cid:durableId="1437407596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0" w:nlCheck="1" w:checkStyle="0"/>
  <w:activeWritingStyle w:appName="MSWord" w:lang="ru-RU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A21"/>
    <w:rsid w:val="00001473"/>
    <w:rsid w:val="0000148E"/>
    <w:rsid w:val="00004689"/>
    <w:rsid w:val="00005928"/>
    <w:rsid w:val="00006205"/>
    <w:rsid w:val="00007339"/>
    <w:rsid w:val="0000761C"/>
    <w:rsid w:val="000137F9"/>
    <w:rsid w:val="00015651"/>
    <w:rsid w:val="0001721B"/>
    <w:rsid w:val="000222BF"/>
    <w:rsid w:val="0002286E"/>
    <w:rsid w:val="00022DB5"/>
    <w:rsid w:val="000241E2"/>
    <w:rsid w:val="00024442"/>
    <w:rsid w:val="0003028B"/>
    <w:rsid w:val="00032AAC"/>
    <w:rsid w:val="00034729"/>
    <w:rsid w:val="00035210"/>
    <w:rsid w:val="00042044"/>
    <w:rsid w:val="00044333"/>
    <w:rsid w:val="000454ED"/>
    <w:rsid w:val="00045CC2"/>
    <w:rsid w:val="00047997"/>
    <w:rsid w:val="00052547"/>
    <w:rsid w:val="00054DA5"/>
    <w:rsid w:val="000611B3"/>
    <w:rsid w:val="0006120B"/>
    <w:rsid w:val="00061A29"/>
    <w:rsid w:val="000639FC"/>
    <w:rsid w:val="00064A70"/>
    <w:rsid w:val="000653B0"/>
    <w:rsid w:val="00067A21"/>
    <w:rsid w:val="00067C98"/>
    <w:rsid w:val="0007156E"/>
    <w:rsid w:val="0007159D"/>
    <w:rsid w:val="000723CD"/>
    <w:rsid w:val="00073276"/>
    <w:rsid w:val="00075EDA"/>
    <w:rsid w:val="00082764"/>
    <w:rsid w:val="000851C9"/>
    <w:rsid w:val="00085B5C"/>
    <w:rsid w:val="0008608B"/>
    <w:rsid w:val="00087C67"/>
    <w:rsid w:val="00096CDA"/>
    <w:rsid w:val="000979B6"/>
    <w:rsid w:val="000A165B"/>
    <w:rsid w:val="000A1FC5"/>
    <w:rsid w:val="000A3000"/>
    <w:rsid w:val="000A4131"/>
    <w:rsid w:val="000A4835"/>
    <w:rsid w:val="000B024E"/>
    <w:rsid w:val="000B1A96"/>
    <w:rsid w:val="000B211F"/>
    <w:rsid w:val="000B21E5"/>
    <w:rsid w:val="000B2AFD"/>
    <w:rsid w:val="000B2FDC"/>
    <w:rsid w:val="000B372C"/>
    <w:rsid w:val="000B587F"/>
    <w:rsid w:val="000C057F"/>
    <w:rsid w:val="000C0EEA"/>
    <w:rsid w:val="000C4757"/>
    <w:rsid w:val="000D013B"/>
    <w:rsid w:val="000D0C8A"/>
    <w:rsid w:val="000D3C6D"/>
    <w:rsid w:val="000D460F"/>
    <w:rsid w:val="000D47A4"/>
    <w:rsid w:val="000D686D"/>
    <w:rsid w:val="000E05F1"/>
    <w:rsid w:val="000E11C5"/>
    <w:rsid w:val="000E5C59"/>
    <w:rsid w:val="000F0736"/>
    <w:rsid w:val="000F1DCA"/>
    <w:rsid w:val="000F25E6"/>
    <w:rsid w:val="000F3CA5"/>
    <w:rsid w:val="000F40BC"/>
    <w:rsid w:val="000F40E6"/>
    <w:rsid w:val="000F4958"/>
    <w:rsid w:val="000F64E9"/>
    <w:rsid w:val="000F6E93"/>
    <w:rsid w:val="000F7FF5"/>
    <w:rsid w:val="00103366"/>
    <w:rsid w:val="00103CB4"/>
    <w:rsid w:val="001047CA"/>
    <w:rsid w:val="00107C50"/>
    <w:rsid w:val="0011004F"/>
    <w:rsid w:val="00112BCB"/>
    <w:rsid w:val="00113508"/>
    <w:rsid w:val="00114345"/>
    <w:rsid w:val="00122408"/>
    <w:rsid w:val="001235F1"/>
    <w:rsid w:val="00124965"/>
    <w:rsid w:val="00125099"/>
    <w:rsid w:val="001253B5"/>
    <w:rsid w:val="0013122B"/>
    <w:rsid w:val="00133D71"/>
    <w:rsid w:val="0013667B"/>
    <w:rsid w:val="00137C6C"/>
    <w:rsid w:val="00140F10"/>
    <w:rsid w:val="00142FF6"/>
    <w:rsid w:val="0014323D"/>
    <w:rsid w:val="00144CAB"/>
    <w:rsid w:val="0015060E"/>
    <w:rsid w:val="00155DCA"/>
    <w:rsid w:val="00157546"/>
    <w:rsid w:val="00160F77"/>
    <w:rsid w:val="00161725"/>
    <w:rsid w:val="001622B8"/>
    <w:rsid w:val="0016282F"/>
    <w:rsid w:val="00175C47"/>
    <w:rsid w:val="00177BB3"/>
    <w:rsid w:val="00180D38"/>
    <w:rsid w:val="00182C17"/>
    <w:rsid w:val="00185E04"/>
    <w:rsid w:val="00187158"/>
    <w:rsid w:val="001873AC"/>
    <w:rsid w:val="00190393"/>
    <w:rsid w:val="00195DA6"/>
    <w:rsid w:val="001A443A"/>
    <w:rsid w:val="001A4E1A"/>
    <w:rsid w:val="001A51BB"/>
    <w:rsid w:val="001A5E62"/>
    <w:rsid w:val="001A615A"/>
    <w:rsid w:val="001A7893"/>
    <w:rsid w:val="001B0CE6"/>
    <w:rsid w:val="001B164E"/>
    <w:rsid w:val="001B448A"/>
    <w:rsid w:val="001B7A80"/>
    <w:rsid w:val="001B7AE4"/>
    <w:rsid w:val="001C0188"/>
    <w:rsid w:val="001C0AE2"/>
    <w:rsid w:val="001C58D2"/>
    <w:rsid w:val="001C6214"/>
    <w:rsid w:val="001D2FC2"/>
    <w:rsid w:val="001D3761"/>
    <w:rsid w:val="001D53F4"/>
    <w:rsid w:val="001D601A"/>
    <w:rsid w:val="001D70EE"/>
    <w:rsid w:val="001E18CF"/>
    <w:rsid w:val="001E3062"/>
    <w:rsid w:val="001E4813"/>
    <w:rsid w:val="001E5A46"/>
    <w:rsid w:val="001E5AA4"/>
    <w:rsid w:val="001E6E76"/>
    <w:rsid w:val="001E771B"/>
    <w:rsid w:val="001F2513"/>
    <w:rsid w:val="001F28B6"/>
    <w:rsid w:val="001F5C29"/>
    <w:rsid w:val="002002E7"/>
    <w:rsid w:val="00201073"/>
    <w:rsid w:val="0020199B"/>
    <w:rsid w:val="002021BA"/>
    <w:rsid w:val="002062CC"/>
    <w:rsid w:val="0021429B"/>
    <w:rsid w:val="00214BB9"/>
    <w:rsid w:val="002155A1"/>
    <w:rsid w:val="002156DC"/>
    <w:rsid w:val="002235DC"/>
    <w:rsid w:val="0023464C"/>
    <w:rsid w:val="002348DA"/>
    <w:rsid w:val="00234A11"/>
    <w:rsid w:val="00234AB1"/>
    <w:rsid w:val="00234F6B"/>
    <w:rsid w:val="00235B86"/>
    <w:rsid w:val="00240058"/>
    <w:rsid w:val="002433D9"/>
    <w:rsid w:val="00243CF6"/>
    <w:rsid w:val="00247DC7"/>
    <w:rsid w:val="00247EED"/>
    <w:rsid w:val="00250C66"/>
    <w:rsid w:val="00250FA2"/>
    <w:rsid w:val="002531F3"/>
    <w:rsid w:val="0025456B"/>
    <w:rsid w:val="002551E7"/>
    <w:rsid w:val="00255E8E"/>
    <w:rsid w:val="002605B1"/>
    <w:rsid w:val="00261014"/>
    <w:rsid w:val="002646A9"/>
    <w:rsid w:val="00271099"/>
    <w:rsid w:val="00272505"/>
    <w:rsid w:val="00272D5D"/>
    <w:rsid w:val="00277096"/>
    <w:rsid w:val="00277805"/>
    <w:rsid w:val="00277C87"/>
    <w:rsid w:val="00277FA2"/>
    <w:rsid w:val="00281011"/>
    <w:rsid w:val="00282163"/>
    <w:rsid w:val="002828FF"/>
    <w:rsid w:val="00285934"/>
    <w:rsid w:val="002900D5"/>
    <w:rsid w:val="00294D4C"/>
    <w:rsid w:val="002A49FF"/>
    <w:rsid w:val="002A4E49"/>
    <w:rsid w:val="002B2D9C"/>
    <w:rsid w:val="002B384E"/>
    <w:rsid w:val="002B7162"/>
    <w:rsid w:val="002B750B"/>
    <w:rsid w:val="002B78C5"/>
    <w:rsid w:val="002D10DB"/>
    <w:rsid w:val="002D25FE"/>
    <w:rsid w:val="002D61FF"/>
    <w:rsid w:val="002D668A"/>
    <w:rsid w:val="002D7524"/>
    <w:rsid w:val="002D7B9E"/>
    <w:rsid w:val="002E3462"/>
    <w:rsid w:val="002E446E"/>
    <w:rsid w:val="002F01FD"/>
    <w:rsid w:val="002F0BD4"/>
    <w:rsid w:val="002F1891"/>
    <w:rsid w:val="002F1EAF"/>
    <w:rsid w:val="002F3CD0"/>
    <w:rsid w:val="00300F4D"/>
    <w:rsid w:val="00302EE3"/>
    <w:rsid w:val="00307866"/>
    <w:rsid w:val="003110A4"/>
    <w:rsid w:val="00314A11"/>
    <w:rsid w:val="00315D2C"/>
    <w:rsid w:val="003169B9"/>
    <w:rsid w:val="00325C2A"/>
    <w:rsid w:val="00325FB1"/>
    <w:rsid w:val="00330D3F"/>
    <w:rsid w:val="00331257"/>
    <w:rsid w:val="00334D1C"/>
    <w:rsid w:val="0033792B"/>
    <w:rsid w:val="00345ED1"/>
    <w:rsid w:val="00346331"/>
    <w:rsid w:val="00347B37"/>
    <w:rsid w:val="00352F61"/>
    <w:rsid w:val="00354FE3"/>
    <w:rsid w:val="00355ECB"/>
    <w:rsid w:val="00360378"/>
    <w:rsid w:val="003621C6"/>
    <w:rsid w:val="00362B19"/>
    <w:rsid w:val="00365826"/>
    <w:rsid w:val="00366A21"/>
    <w:rsid w:val="00366A74"/>
    <w:rsid w:val="00367ACF"/>
    <w:rsid w:val="00367FEA"/>
    <w:rsid w:val="00375370"/>
    <w:rsid w:val="0037559E"/>
    <w:rsid w:val="0037720F"/>
    <w:rsid w:val="0038154C"/>
    <w:rsid w:val="00384436"/>
    <w:rsid w:val="00384576"/>
    <w:rsid w:val="003848FC"/>
    <w:rsid w:val="00384E66"/>
    <w:rsid w:val="00392131"/>
    <w:rsid w:val="00394B07"/>
    <w:rsid w:val="00396F2E"/>
    <w:rsid w:val="003A0FB9"/>
    <w:rsid w:val="003A1ABC"/>
    <w:rsid w:val="003A1E2F"/>
    <w:rsid w:val="003A1FC6"/>
    <w:rsid w:val="003A3148"/>
    <w:rsid w:val="003A3CBE"/>
    <w:rsid w:val="003A5955"/>
    <w:rsid w:val="003A7255"/>
    <w:rsid w:val="003A7C81"/>
    <w:rsid w:val="003B05F1"/>
    <w:rsid w:val="003B19B5"/>
    <w:rsid w:val="003B2053"/>
    <w:rsid w:val="003B2B14"/>
    <w:rsid w:val="003B57C4"/>
    <w:rsid w:val="003B658B"/>
    <w:rsid w:val="003B6795"/>
    <w:rsid w:val="003B698E"/>
    <w:rsid w:val="003C219C"/>
    <w:rsid w:val="003C526F"/>
    <w:rsid w:val="003C5376"/>
    <w:rsid w:val="003C58FB"/>
    <w:rsid w:val="003C5CA7"/>
    <w:rsid w:val="003C6D0D"/>
    <w:rsid w:val="003D0EB9"/>
    <w:rsid w:val="003D5B4F"/>
    <w:rsid w:val="003D63F1"/>
    <w:rsid w:val="003D73F1"/>
    <w:rsid w:val="003E038A"/>
    <w:rsid w:val="003E0DB4"/>
    <w:rsid w:val="003E1596"/>
    <w:rsid w:val="003E1907"/>
    <w:rsid w:val="003E30FA"/>
    <w:rsid w:val="003E3D0D"/>
    <w:rsid w:val="003E4132"/>
    <w:rsid w:val="003E4D35"/>
    <w:rsid w:val="003F5538"/>
    <w:rsid w:val="003F57A5"/>
    <w:rsid w:val="003F7B79"/>
    <w:rsid w:val="003F7B81"/>
    <w:rsid w:val="004040CF"/>
    <w:rsid w:val="004070FD"/>
    <w:rsid w:val="00407935"/>
    <w:rsid w:val="00410A07"/>
    <w:rsid w:val="00411032"/>
    <w:rsid w:val="004111B1"/>
    <w:rsid w:val="004162B6"/>
    <w:rsid w:val="00423F25"/>
    <w:rsid w:val="004254E6"/>
    <w:rsid w:val="0043128C"/>
    <w:rsid w:val="00431799"/>
    <w:rsid w:val="00431C4F"/>
    <w:rsid w:val="004361F1"/>
    <w:rsid w:val="00437740"/>
    <w:rsid w:val="004433D4"/>
    <w:rsid w:val="00443B79"/>
    <w:rsid w:val="00450C28"/>
    <w:rsid w:val="00453E88"/>
    <w:rsid w:val="00454CD6"/>
    <w:rsid w:val="00457904"/>
    <w:rsid w:val="00465C9D"/>
    <w:rsid w:val="00474C4E"/>
    <w:rsid w:val="004772E1"/>
    <w:rsid w:val="004830DC"/>
    <w:rsid w:val="00485143"/>
    <w:rsid w:val="0048571C"/>
    <w:rsid w:val="00485C94"/>
    <w:rsid w:val="00487ABC"/>
    <w:rsid w:val="004913C1"/>
    <w:rsid w:val="00493E21"/>
    <w:rsid w:val="00495197"/>
    <w:rsid w:val="004A3D8F"/>
    <w:rsid w:val="004A59A4"/>
    <w:rsid w:val="004B2259"/>
    <w:rsid w:val="004B5C25"/>
    <w:rsid w:val="004B6583"/>
    <w:rsid w:val="004B6EB0"/>
    <w:rsid w:val="004C1152"/>
    <w:rsid w:val="004C23F1"/>
    <w:rsid w:val="004C4485"/>
    <w:rsid w:val="004C63CF"/>
    <w:rsid w:val="004C7051"/>
    <w:rsid w:val="004C75C2"/>
    <w:rsid w:val="004D0A60"/>
    <w:rsid w:val="004D543D"/>
    <w:rsid w:val="004D7460"/>
    <w:rsid w:val="004E0878"/>
    <w:rsid w:val="004E11A3"/>
    <w:rsid w:val="004E771F"/>
    <w:rsid w:val="004F1BE0"/>
    <w:rsid w:val="004F44DB"/>
    <w:rsid w:val="004F650E"/>
    <w:rsid w:val="005005AA"/>
    <w:rsid w:val="00511348"/>
    <w:rsid w:val="00511839"/>
    <w:rsid w:val="005132D9"/>
    <w:rsid w:val="00513B9C"/>
    <w:rsid w:val="00514646"/>
    <w:rsid w:val="0051631F"/>
    <w:rsid w:val="00516926"/>
    <w:rsid w:val="00520283"/>
    <w:rsid w:val="00522DFD"/>
    <w:rsid w:val="0052431F"/>
    <w:rsid w:val="00530AB6"/>
    <w:rsid w:val="00531149"/>
    <w:rsid w:val="00531286"/>
    <w:rsid w:val="00534CE6"/>
    <w:rsid w:val="00535359"/>
    <w:rsid w:val="005379C8"/>
    <w:rsid w:val="00537B1C"/>
    <w:rsid w:val="005417C2"/>
    <w:rsid w:val="00542A98"/>
    <w:rsid w:val="00542B4E"/>
    <w:rsid w:val="00543151"/>
    <w:rsid w:val="00545234"/>
    <w:rsid w:val="00545861"/>
    <w:rsid w:val="00545D93"/>
    <w:rsid w:val="005470F2"/>
    <w:rsid w:val="0055034F"/>
    <w:rsid w:val="00550E46"/>
    <w:rsid w:val="005527EC"/>
    <w:rsid w:val="00552E2F"/>
    <w:rsid w:val="00553552"/>
    <w:rsid w:val="00553611"/>
    <w:rsid w:val="00554306"/>
    <w:rsid w:val="00554D39"/>
    <w:rsid w:val="00555F47"/>
    <w:rsid w:val="00556782"/>
    <w:rsid w:val="0056450F"/>
    <w:rsid w:val="00564EF4"/>
    <w:rsid w:val="005659EB"/>
    <w:rsid w:val="00567A6D"/>
    <w:rsid w:val="00572851"/>
    <w:rsid w:val="005736D2"/>
    <w:rsid w:val="005737E9"/>
    <w:rsid w:val="005738B3"/>
    <w:rsid w:val="00574327"/>
    <w:rsid w:val="0057555F"/>
    <w:rsid w:val="00575564"/>
    <w:rsid w:val="00575938"/>
    <w:rsid w:val="0057623E"/>
    <w:rsid w:val="005770A6"/>
    <w:rsid w:val="0058118F"/>
    <w:rsid w:val="005825CB"/>
    <w:rsid w:val="00582926"/>
    <w:rsid w:val="00583C3B"/>
    <w:rsid w:val="00584F3F"/>
    <w:rsid w:val="00585D7E"/>
    <w:rsid w:val="0058659D"/>
    <w:rsid w:val="00590205"/>
    <w:rsid w:val="00590540"/>
    <w:rsid w:val="00594F20"/>
    <w:rsid w:val="005959E4"/>
    <w:rsid w:val="005968E5"/>
    <w:rsid w:val="00596AE0"/>
    <w:rsid w:val="005A393B"/>
    <w:rsid w:val="005A51DB"/>
    <w:rsid w:val="005A6553"/>
    <w:rsid w:val="005A65AF"/>
    <w:rsid w:val="005B1A3C"/>
    <w:rsid w:val="005B5F83"/>
    <w:rsid w:val="005C44FE"/>
    <w:rsid w:val="005C5224"/>
    <w:rsid w:val="005C7C8F"/>
    <w:rsid w:val="005D5698"/>
    <w:rsid w:val="005D6ECD"/>
    <w:rsid w:val="005D73C2"/>
    <w:rsid w:val="005E5702"/>
    <w:rsid w:val="005E7084"/>
    <w:rsid w:val="005F3037"/>
    <w:rsid w:val="005F5EE8"/>
    <w:rsid w:val="005F637F"/>
    <w:rsid w:val="005F6B8D"/>
    <w:rsid w:val="00603154"/>
    <w:rsid w:val="006031CF"/>
    <w:rsid w:val="00603DA0"/>
    <w:rsid w:val="0060473D"/>
    <w:rsid w:val="00605423"/>
    <w:rsid w:val="006054CA"/>
    <w:rsid w:val="006065D3"/>
    <w:rsid w:val="006141FA"/>
    <w:rsid w:val="0061609E"/>
    <w:rsid w:val="0061655E"/>
    <w:rsid w:val="00620FE4"/>
    <w:rsid w:val="0062261C"/>
    <w:rsid w:val="006246A9"/>
    <w:rsid w:val="006255BE"/>
    <w:rsid w:val="00634DF3"/>
    <w:rsid w:val="00635497"/>
    <w:rsid w:val="006356BD"/>
    <w:rsid w:val="00640402"/>
    <w:rsid w:val="006421A0"/>
    <w:rsid w:val="00642CD8"/>
    <w:rsid w:val="006464D0"/>
    <w:rsid w:val="00652951"/>
    <w:rsid w:val="00656A27"/>
    <w:rsid w:val="00660F1D"/>
    <w:rsid w:val="00661487"/>
    <w:rsid w:val="00662299"/>
    <w:rsid w:val="00662B4E"/>
    <w:rsid w:val="0066332F"/>
    <w:rsid w:val="00663DC2"/>
    <w:rsid w:val="00664827"/>
    <w:rsid w:val="00666444"/>
    <w:rsid w:val="006702A9"/>
    <w:rsid w:val="00670E68"/>
    <w:rsid w:val="0067484E"/>
    <w:rsid w:val="0068159B"/>
    <w:rsid w:val="00682431"/>
    <w:rsid w:val="00682F0C"/>
    <w:rsid w:val="0068345A"/>
    <w:rsid w:val="00692D7A"/>
    <w:rsid w:val="0069335D"/>
    <w:rsid w:val="006935FB"/>
    <w:rsid w:val="0069487E"/>
    <w:rsid w:val="006A1A4F"/>
    <w:rsid w:val="006A2C59"/>
    <w:rsid w:val="006A2F52"/>
    <w:rsid w:val="006A3088"/>
    <w:rsid w:val="006A397C"/>
    <w:rsid w:val="006A411F"/>
    <w:rsid w:val="006A60A8"/>
    <w:rsid w:val="006B0A3B"/>
    <w:rsid w:val="006B13D6"/>
    <w:rsid w:val="006B2A0C"/>
    <w:rsid w:val="006B2B52"/>
    <w:rsid w:val="006B5D5C"/>
    <w:rsid w:val="006B6F27"/>
    <w:rsid w:val="006C032E"/>
    <w:rsid w:val="006C07EA"/>
    <w:rsid w:val="006C1B6E"/>
    <w:rsid w:val="006C2089"/>
    <w:rsid w:val="006C352D"/>
    <w:rsid w:val="006C3675"/>
    <w:rsid w:val="006C46E0"/>
    <w:rsid w:val="006C5BA1"/>
    <w:rsid w:val="006D14CD"/>
    <w:rsid w:val="006D1527"/>
    <w:rsid w:val="006D165E"/>
    <w:rsid w:val="006D1C74"/>
    <w:rsid w:val="006D1DAC"/>
    <w:rsid w:val="006D3FA0"/>
    <w:rsid w:val="006D6FC7"/>
    <w:rsid w:val="006D79FF"/>
    <w:rsid w:val="006D7E04"/>
    <w:rsid w:val="006E05F4"/>
    <w:rsid w:val="006E190B"/>
    <w:rsid w:val="006E1BEA"/>
    <w:rsid w:val="006F704E"/>
    <w:rsid w:val="00702861"/>
    <w:rsid w:val="00703F17"/>
    <w:rsid w:val="007044D9"/>
    <w:rsid w:val="0070559F"/>
    <w:rsid w:val="00706D28"/>
    <w:rsid w:val="0071355C"/>
    <w:rsid w:val="00715712"/>
    <w:rsid w:val="00715763"/>
    <w:rsid w:val="0072048B"/>
    <w:rsid w:val="0072090E"/>
    <w:rsid w:val="00721C99"/>
    <w:rsid w:val="007238A6"/>
    <w:rsid w:val="0072789D"/>
    <w:rsid w:val="00731304"/>
    <w:rsid w:val="00733ED9"/>
    <w:rsid w:val="007340C6"/>
    <w:rsid w:val="00734DCE"/>
    <w:rsid w:val="007356E0"/>
    <w:rsid w:val="007357CC"/>
    <w:rsid w:val="00740DEA"/>
    <w:rsid w:val="00743CF1"/>
    <w:rsid w:val="0074455D"/>
    <w:rsid w:val="00744E22"/>
    <w:rsid w:val="00744FE4"/>
    <w:rsid w:val="0075611A"/>
    <w:rsid w:val="00756333"/>
    <w:rsid w:val="007612B2"/>
    <w:rsid w:val="007618EB"/>
    <w:rsid w:val="007633E6"/>
    <w:rsid w:val="00764185"/>
    <w:rsid w:val="00766B2A"/>
    <w:rsid w:val="00766F0A"/>
    <w:rsid w:val="00770E10"/>
    <w:rsid w:val="0077189B"/>
    <w:rsid w:val="00771F3F"/>
    <w:rsid w:val="00777F4E"/>
    <w:rsid w:val="0078077F"/>
    <w:rsid w:val="007855A3"/>
    <w:rsid w:val="007911FC"/>
    <w:rsid w:val="007928C2"/>
    <w:rsid w:val="007937E5"/>
    <w:rsid w:val="0079500B"/>
    <w:rsid w:val="00795430"/>
    <w:rsid w:val="00796CE1"/>
    <w:rsid w:val="007A0621"/>
    <w:rsid w:val="007A11BC"/>
    <w:rsid w:val="007B345D"/>
    <w:rsid w:val="007B38FF"/>
    <w:rsid w:val="007B60ED"/>
    <w:rsid w:val="007B681E"/>
    <w:rsid w:val="007C082B"/>
    <w:rsid w:val="007C14F1"/>
    <w:rsid w:val="007C4BC7"/>
    <w:rsid w:val="007C5F34"/>
    <w:rsid w:val="007D0C71"/>
    <w:rsid w:val="007D28F5"/>
    <w:rsid w:val="007D43D3"/>
    <w:rsid w:val="007D5C8C"/>
    <w:rsid w:val="007D7025"/>
    <w:rsid w:val="007E36AD"/>
    <w:rsid w:val="007E3773"/>
    <w:rsid w:val="007E6BB8"/>
    <w:rsid w:val="007F125F"/>
    <w:rsid w:val="007F1FB2"/>
    <w:rsid w:val="00802C7D"/>
    <w:rsid w:val="0081280B"/>
    <w:rsid w:val="00812D56"/>
    <w:rsid w:val="00813049"/>
    <w:rsid w:val="00813E47"/>
    <w:rsid w:val="008147E8"/>
    <w:rsid w:val="0081778B"/>
    <w:rsid w:val="00822710"/>
    <w:rsid w:val="00822B85"/>
    <w:rsid w:val="00823113"/>
    <w:rsid w:val="00823297"/>
    <w:rsid w:val="008273AF"/>
    <w:rsid w:val="00830B05"/>
    <w:rsid w:val="00834E87"/>
    <w:rsid w:val="00834EBF"/>
    <w:rsid w:val="008354AA"/>
    <w:rsid w:val="00837C5C"/>
    <w:rsid w:val="00837CFD"/>
    <w:rsid w:val="0084388F"/>
    <w:rsid w:val="00843DC1"/>
    <w:rsid w:val="00844189"/>
    <w:rsid w:val="00844707"/>
    <w:rsid w:val="00845F39"/>
    <w:rsid w:val="00850CF7"/>
    <w:rsid w:val="0085297B"/>
    <w:rsid w:val="00853382"/>
    <w:rsid w:val="00853CE7"/>
    <w:rsid w:val="0085654C"/>
    <w:rsid w:val="008565B5"/>
    <w:rsid w:val="00860B92"/>
    <w:rsid w:val="0086117D"/>
    <w:rsid w:val="008628A3"/>
    <w:rsid w:val="008653B3"/>
    <w:rsid w:val="00865D7A"/>
    <w:rsid w:val="0086715A"/>
    <w:rsid w:val="00867719"/>
    <w:rsid w:val="00877EBC"/>
    <w:rsid w:val="0088084F"/>
    <w:rsid w:val="008820E2"/>
    <w:rsid w:val="0088227B"/>
    <w:rsid w:val="008827CA"/>
    <w:rsid w:val="00890A89"/>
    <w:rsid w:val="008912E0"/>
    <w:rsid w:val="00891DA0"/>
    <w:rsid w:val="00892245"/>
    <w:rsid w:val="00893DBF"/>
    <w:rsid w:val="008A01CE"/>
    <w:rsid w:val="008A0918"/>
    <w:rsid w:val="008A0948"/>
    <w:rsid w:val="008A1B50"/>
    <w:rsid w:val="008A330F"/>
    <w:rsid w:val="008A5354"/>
    <w:rsid w:val="008B0290"/>
    <w:rsid w:val="008B218B"/>
    <w:rsid w:val="008B31E2"/>
    <w:rsid w:val="008B6624"/>
    <w:rsid w:val="008B7560"/>
    <w:rsid w:val="008C1234"/>
    <w:rsid w:val="008D207C"/>
    <w:rsid w:val="008D224C"/>
    <w:rsid w:val="008D239F"/>
    <w:rsid w:val="008D24F9"/>
    <w:rsid w:val="008D28F7"/>
    <w:rsid w:val="008D34E2"/>
    <w:rsid w:val="008D6E08"/>
    <w:rsid w:val="008D7433"/>
    <w:rsid w:val="008E10AE"/>
    <w:rsid w:val="008E4E3B"/>
    <w:rsid w:val="008F02FE"/>
    <w:rsid w:val="008F0C1C"/>
    <w:rsid w:val="008F3E10"/>
    <w:rsid w:val="008F50EF"/>
    <w:rsid w:val="008F558A"/>
    <w:rsid w:val="008F6F41"/>
    <w:rsid w:val="008F74CA"/>
    <w:rsid w:val="008F7602"/>
    <w:rsid w:val="00902DB5"/>
    <w:rsid w:val="00903402"/>
    <w:rsid w:val="00910368"/>
    <w:rsid w:val="009151D4"/>
    <w:rsid w:val="009168E8"/>
    <w:rsid w:val="00917043"/>
    <w:rsid w:val="00921585"/>
    <w:rsid w:val="00925185"/>
    <w:rsid w:val="0092634A"/>
    <w:rsid w:val="00930146"/>
    <w:rsid w:val="00930A1F"/>
    <w:rsid w:val="00930E5B"/>
    <w:rsid w:val="00930F45"/>
    <w:rsid w:val="009322E2"/>
    <w:rsid w:val="00934257"/>
    <w:rsid w:val="00935A08"/>
    <w:rsid w:val="00936D83"/>
    <w:rsid w:val="00940610"/>
    <w:rsid w:val="0094181C"/>
    <w:rsid w:val="00941D65"/>
    <w:rsid w:val="009421D9"/>
    <w:rsid w:val="0094402A"/>
    <w:rsid w:val="0094428C"/>
    <w:rsid w:val="0094460B"/>
    <w:rsid w:val="009503C2"/>
    <w:rsid w:val="00950880"/>
    <w:rsid w:val="00955FF7"/>
    <w:rsid w:val="0095673E"/>
    <w:rsid w:val="0095788C"/>
    <w:rsid w:val="0095789D"/>
    <w:rsid w:val="00957D1F"/>
    <w:rsid w:val="00960709"/>
    <w:rsid w:val="009671BA"/>
    <w:rsid w:val="009809BF"/>
    <w:rsid w:val="0098156B"/>
    <w:rsid w:val="00981584"/>
    <w:rsid w:val="00982DE1"/>
    <w:rsid w:val="00982E8B"/>
    <w:rsid w:val="00983474"/>
    <w:rsid w:val="00983E0D"/>
    <w:rsid w:val="00984D9F"/>
    <w:rsid w:val="009914D1"/>
    <w:rsid w:val="00992860"/>
    <w:rsid w:val="00993F51"/>
    <w:rsid w:val="00995145"/>
    <w:rsid w:val="00997886"/>
    <w:rsid w:val="009A37E6"/>
    <w:rsid w:val="009A401A"/>
    <w:rsid w:val="009A4490"/>
    <w:rsid w:val="009A67DB"/>
    <w:rsid w:val="009B0045"/>
    <w:rsid w:val="009B1CF2"/>
    <w:rsid w:val="009B365E"/>
    <w:rsid w:val="009B494C"/>
    <w:rsid w:val="009B7E1F"/>
    <w:rsid w:val="009C3963"/>
    <w:rsid w:val="009C4255"/>
    <w:rsid w:val="009C6CC1"/>
    <w:rsid w:val="009E2F5B"/>
    <w:rsid w:val="009E5852"/>
    <w:rsid w:val="009E58F1"/>
    <w:rsid w:val="009E72D7"/>
    <w:rsid w:val="009E7419"/>
    <w:rsid w:val="009F0D3F"/>
    <w:rsid w:val="009F1BDA"/>
    <w:rsid w:val="009F709D"/>
    <w:rsid w:val="00A010FF"/>
    <w:rsid w:val="00A06751"/>
    <w:rsid w:val="00A06C9C"/>
    <w:rsid w:val="00A07C32"/>
    <w:rsid w:val="00A12A41"/>
    <w:rsid w:val="00A131DB"/>
    <w:rsid w:val="00A14A3C"/>
    <w:rsid w:val="00A16B52"/>
    <w:rsid w:val="00A233FE"/>
    <w:rsid w:val="00A2541C"/>
    <w:rsid w:val="00A337E5"/>
    <w:rsid w:val="00A33CEE"/>
    <w:rsid w:val="00A34D39"/>
    <w:rsid w:val="00A34F24"/>
    <w:rsid w:val="00A354F7"/>
    <w:rsid w:val="00A41418"/>
    <w:rsid w:val="00A42080"/>
    <w:rsid w:val="00A4297B"/>
    <w:rsid w:val="00A46CE7"/>
    <w:rsid w:val="00A5100A"/>
    <w:rsid w:val="00A54EA2"/>
    <w:rsid w:val="00A557F2"/>
    <w:rsid w:val="00A57430"/>
    <w:rsid w:val="00A60E00"/>
    <w:rsid w:val="00A665B9"/>
    <w:rsid w:val="00A70488"/>
    <w:rsid w:val="00A71180"/>
    <w:rsid w:val="00A80A8C"/>
    <w:rsid w:val="00A8104E"/>
    <w:rsid w:val="00A84F8B"/>
    <w:rsid w:val="00A8607D"/>
    <w:rsid w:val="00A86B3E"/>
    <w:rsid w:val="00A86D37"/>
    <w:rsid w:val="00A90675"/>
    <w:rsid w:val="00A92DD7"/>
    <w:rsid w:val="00A94D3E"/>
    <w:rsid w:val="00A96352"/>
    <w:rsid w:val="00AA0A35"/>
    <w:rsid w:val="00AA136B"/>
    <w:rsid w:val="00AA38A4"/>
    <w:rsid w:val="00AA3C00"/>
    <w:rsid w:val="00AA4D0F"/>
    <w:rsid w:val="00AA5D05"/>
    <w:rsid w:val="00AA7A4B"/>
    <w:rsid w:val="00AB2F89"/>
    <w:rsid w:val="00AB6928"/>
    <w:rsid w:val="00AB764D"/>
    <w:rsid w:val="00AC29EB"/>
    <w:rsid w:val="00AC332A"/>
    <w:rsid w:val="00AC367D"/>
    <w:rsid w:val="00AC3A7E"/>
    <w:rsid w:val="00AC5F7C"/>
    <w:rsid w:val="00AC758C"/>
    <w:rsid w:val="00AD0546"/>
    <w:rsid w:val="00AD5781"/>
    <w:rsid w:val="00AE0427"/>
    <w:rsid w:val="00AE08CA"/>
    <w:rsid w:val="00AE21F7"/>
    <w:rsid w:val="00AE23A6"/>
    <w:rsid w:val="00AE4F5E"/>
    <w:rsid w:val="00AE6905"/>
    <w:rsid w:val="00AF0620"/>
    <w:rsid w:val="00AF2246"/>
    <w:rsid w:val="00AF30D7"/>
    <w:rsid w:val="00AF3FFD"/>
    <w:rsid w:val="00AF5503"/>
    <w:rsid w:val="00AF6308"/>
    <w:rsid w:val="00AF718A"/>
    <w:rsid w:val="00B0168D"/>
    <w:rsid w:val="00B029D3"/>
    <w:rsid w:val="00B03BC1"/>
    <w:rsid w:val="00B04917"/>
    <w:rsid w:val="00B04C5B"/>
    <w:rsid w:val="00B058E1"/>
    <w:rsid w:val="00B12B33"/>
    <w:rsid w:val="00B12F3B"/>
    <w:rsid w:val="00B14616"/>
    <w:rsid w:val="00B146A9"/>
    <w:rsid w:val="00B17AD5"/>
    <w:rsid w:val="00B21D6B"/>
    <w:rsid w:val="00B254D3"/>
    <w:rsid w:val="00B26043"/>
    <w:rsid w:val="00B313D5"/>
    <w:rsid w:val="00B31963"/>
    <w:rsid w:val="00B35097"/>
    <w:rsid w:val="00B3542A"/>
    <w:rsid w:val="00B40520"/>
    <w:rsid w:val="00B41EC3"/>
    <w:rsid w:val="00B427E4"/>
    <w:rsid w:val="00B42EB4"/>
    <w:rsid w:val="00B43752"/>
    <w:rsid w:val="00B438DD"/>
    <w:rsid w:val="00B44EC6"/>
    <w:rsid w:val="00B457E0"/>
    <w:rsid w:val="00B466AD"/>
    <w:rsid w:val="00B52DB8"/>
    <w:rsid w:val="00B539A4"/>
    <w:rsid w:val="00B5554F"/>
    <w:rsid w:val="00B559FD"/>
    <w:rsid w:val="00B56F54"/>
    <w:rsid w:val="00B62E84"/>
    <w:rsid w:val="00B63330"/>
    <w:rsid w:val="00B65B07"/>
    <w:rsid w:val="00B67624"/>
    <w:rsid w:val="00B707F7"/>
    <w:rsid w:val="00B72CBA"/>
    <w:rsid w:val="00B742C6"/>
    <w:rsid w:val="00B8001E"/>
    <w:rsid w:val="00B80BBA"/>
    <w:rsid w:val="00B8472C"/>
    <w:rsid w:val="00B84C17"/>
    <w:rsid w:val="00B8690E"/>
    <w:rsid w:val="00B91DBE"/>
    <w:rsid w:val="00B92590"/>
    <w:rsid w:val="00B9263F"/>
    <w:rsid w:val="00B937C3"/>
    <w:rsid w:val="00B9672E"/>
    <w:rsid w:val="00BA0D66"/>
    <w:rsid w:val="00BA33ED"/>
    <w:rsid w:val="00BA632D"/>
    <w:rsid w:val="00BB1AEE"/>
    <w:rsid w:val="00BB25C4"/>
    <w:rsid w:val="00BB3547"/>
    <w:rsid w:val="00BB7FD0"/>
    <w:rsid w:val="00BC123A"/>
    <w:rsid w:val="00BC17DE"/>
    <w:rsid w:val="00BC2EE9"/>
    <w:rsid w:val="00BC310A"/>
    <w:rsid w:val="00BC63D8"/>
    <w:rsid w:val="00BC662D"/>
    <w:rsid w:val="00BC775E"/>
    <w:rsid w:val="00BD1808"/>
    <w:rsid w:val="00BD506F"/>
    <w:rsid w:val="00BD5803"/>
    <w:rsid w:val="00BE01B7"/>
    <w:rsid w:val="00BE4F85"/>
    <w:rsid w:val="00BE61F8"/>
    <w:rsid w:val="00BF1183"/>
    <w:rsid w:val="00BF14AC"/>
    <w:rsid w:val="00BF3582"/>
    <w:rsid w:val="00BF547B"/>
    <w:rsid w:val="00BF5D68"/>
    <w:rsid w:val="00C00678"/>
    <w:rsid w:val="00C0228E"/>
    <w:rsid w:val="00C03354"/>
    <w:rsid w:val="00C07086"/>
    <w:rsid w:val="00C07180"/>
    <w:rsid w:val="00C075E7"/>
    <w:rsid w:val="00C11572"/>
    <w:rsid w:val="00C1210C"/>
    <w:rsid w:val="00C15BEF"/>
    <w:rsid w:val="00C16550"/>
    <w:rsid w:val="00C168C8"/>
    <w:rsid w:val="00C16AE6"/>
    <w:rsid w:val="00C26294"/>
    <w:rsid w:val="00C304F2"/>
    <w:rsid w:val="00C3090F"/>
    <w:rsid w:val="00C32AF0"/>
    <w:rsid w:val="00C33881"/>
    <w:rsid w:val="00C3564F"/>
    <w:rsid w:val="00C35FA1"/>
    <w:rsid w:val="00C37596"/>
    <w:rsid w:val="00C41FCC"/>
    <w:rsid w:val="00C45455"/>
    <w:rsid w:val="00C45834"/>
    <w:rsid w:val="00C4603E"/>
    <w:rsid w:val="00C52068"/>
    <w:rsid w:val="00C54552"/>
    <w:rsid w:val="00C559CD"/>
    <w:rsid w:val="00C606D6"/>
    <w:rsid w:val="00C642BD"/>
    <w:rsid w:val="00C64B81"/>
    <w:rsid w:val="00C66286"/>
    <w:rsid w:val="00C6782F"/>
    <w:rsid w:val="00C67F9B"/>
    <w:rsid w:val="00C700CD"/>
    <w:rsid w:val="00C71B3D"/>
    <w:rsid w:val="00C81EF2"/>
    <w:rsid w:val="00C84D64"/>
    <w:rsid w:val="00C856F3"/>
    <w:rsid w:val="00C87682"/>
    <w:rsid w:val="00C901D5"/>
    <w:rsid w:val="00C906A6"/>
    <w:rsid w:val="00C95FAD"/>
    <w:rsid w:val="00CA0617"/>
    <w:rsid w:val="00CA49FC"/>
    <w:rsid w:val="00CA5B54"/>
    <w:rsid w:val="00CA7FAF"/>
    <w:rsid w:val="00CB04D7"/>
    <w:rsid w:val="00CB1CC2"/>
    <w:rsid w:val="00CB2B61"/>
    <w:rsid w:val="00CB4FC0"/>
    <w:rsid w:val="00CC052B"/>
    <w:rsid w:val="00CC2252"/>
    <w:rsid w:val="00CC312B"/>
    <w:rsid w:val="00CC517E"/>
    <w:rsid w:val="00CC6F1D"/>
    <w:rsid w:val="00CD1245"/>
    <w:rsid w:val="00CD2B79"/>
    <w:rsid w:val="00CD321E"/>
    <w:rsid w:val="00CD3AFD"/>
    <w:rsid w:val="00CD53A9"/>
    <w:rsid w:val="00CD57CE"/>
    <w:rsid w:val="00CD5C2C"/>
    <w:rsid w:val="00CD749A"/>
    <w:rsid w:val="00CE10F9"/>
    <w:rsid w:val="00CE2C8C"/>
    <w:rsid w:val="00CE424F"/>
    <w:rsid w:val="00CE5640"/>
    <w:rsid w:val="00CE5D9E"/>
    <w:rsid w:val="00CE79FB"/>
    <w:rsid w:val="00CF15FC"/>
    <w:rsid w:val="00CF46EA"/>
    <w:rsid w:val="00CF4C04"/>
    <w:rsid w:val="00CF5972"/>
    <w:rsid w:val="00CF688E"/>
    <w:rsid w:val="00D014C5"/>
    <w:rsid w:val="00D020DF"/>
    <w:rsid w:val="00D0284D"/>
    <w:rsid w:val="00D02917"/>
    <w:rsid w:val="00D03042"/>
    <w:rsid w:val="00D0309E"/>
    <w:rsid w:val="00D046B3"/>
    <w:rsid w:val="00D06108"/>
    <w:rsid w:val="00D07CEF"/>
    <w:rsid w:val="00D12422"/>
    <w:rsid w:val="00D13A17"/>
    <w:rsid w:val="00D15D09"/>
    <w:rsid w:val="00D20F22"/>
    <w:rsid w:val="00D23325"/>
    <w:rsid w:val="00D237C4"/>
    <w:rsid w:val="00D23A57"/>
    <w:rsid w:val="00D25404"/>
    <w:rsid w:val="00D2750B"/>
    <w:rsid w:val="00D326AD"/>
    <w:rsid w:val="00D359B6"/>
    <w:rsid w:val="00D36F26"/>
    <w:rsid w:val="00D403B8"/>
    <w:rsid w:val="00D42BDB"/>
    <w:rsid w:val="00D43080"/>
    <w:rsid w:val="00D440FE"/>
    <w:rsid w:val="00D4649C"/>
    <w:rsid w:val="00D472AD"/>
    <w:rsid w:val="00D518AD"/>
    <w:rsid w:val="00D52368"/>
    <w:rsid w:val="00D54FED"/>
    <w:rsid w:val="00D558CE"/>
    <w:rsid w:val="00D609DC"/>
    <w:rsid w:val="00D61070"/>
    <w:rsid w:val="00D65F7B"/>
    <w:rsid w:val="00D67339"/>
    <w:rsid w:val="00D70D0F"/>
    <w:rsid w:val="00D72545"/>
    <w:rsid w:val="00D72D97"/>
    <w:rsid w:val="00D73297"/>
    <w:rsid w:val="00D76779"/>
    <w:rsid w:val="00D815F1"/>
    <w:rsid w:val="00D840CD"/>
    <w:rsid w:val="00D86C23"/>
    <w:rsid w:val="00D873AB"/>
    <w:rsid w:val="00D90FA2"/>
    <w:rsid w:val="00D914E6"/>
    <w:rsid w:val="00D94671"/>
    <w:rsid w:val="00D949D5"/>
    <w:rsid w:val="00D95116"/>
    <w:rsid w:val="00D96110"/>
    <w:rsid w:val="00D96908"/>
    <w:rsid w:val="00D96BD9"/>
    <w:rsid w:val="00DA331D"/>
    <w:rsid w:val="00DA3886"/>
    <w:rsid w:val="00DA5077"/>
    <w:rsid w:val="00DA52B8"/>
    <w:rsid w:val="00DB0408"/>
    <w:rsid w:val="00DB1701"/>
    <w:rsid w:val="00DB19E7"/>
    <w:rsid w:val="00DB5905"/>
    <w:rsid w:val="00DB6F51"/>
    <w:rsid w:val="00DB7059"/>
    <w:rsid w:val="00DB747C"/>
    <w:rsid w:val="00DC0D25"/>
    <w:rsid w:val="00DC418B"/>
    <w:rsid w:val="00DC5AC9"/>
    <w:rsid w:val="00DD0F6D"/>
    <w:rsid w:val="00DD121C"/>
    <w:rsid w:val="00DD5AC9"/>
    <w:rsid w:val="00DD7A5E"/>
    <w:rsid w:val="00DE3641"/>
    <w:rsid w:val="00DE59ED"/>
    <w:rsid w:val="00DE720C"/>
    <w:rsid w:val="00DF293E"/>
    <w:rsid w:val="00DF6877"/>
    <w:rsid w:val="00DF715D"/>
    <w:rsid w:val="00DF7277"/>
    <w:rsid w:val="00E02D3B"/>
    <w:rsid w:val="00E04254"/>
    <w:rsid w:val="00E04725"/>
    <w:rsid w:val="00E04E4F"/>
    <w:rsid w:val="00E055F4"/>
    <w:rsid w:val="00E07F6E"/>
    <w:rsid w:val="00E112EE"/>
    <w:rsid w:val="00E11C20"/>
    <w:rsid w:val="00E129EE"/>
    <w:rsid w:val="00E15C37"/>
    <w:rsid w:val="00E2033F"/>
    <w:rsid w:val="00E209B7"/>
    <w:rsid w:val="00E20B67"/>
    <w:rsid w:val="00E21030"/>
    <w:rsid w:val="00E216CF"/>
    <w:rsid w:val="00E226B2"/>
    <w:rsid w:val="00E22832"/>
    <w:rsid w:val="00E23458"/>
    <w:rsid w:val="00E243C8"/>
    <w:rsid w:val="00E252A4"/>
    <w:rsid w:val="00E26770"/>
    <w:rsid w:val="00E2745E"/>
    <w:rsid w:val="00E275BC"/>
    <w:rsid w:val="00E301A4"/>
    <w:rsid w:val="00E3074C"/>
    <w:rsid w:val="00E320F2"/>
    <w:rsid w:val="00E32840"/>
    <w:rsid w:val="00E423BD"/>
    <w:rsid w:val="00E47BD2"/>
    <w:rsid w:val="00E52056"/>
    <w:rsid w:val="00E52077"/>
    <w:rsid w:val="00E52080"/>
    <w:rsid w:val="00E52425"/>
    <w:rsid w:val="00E528F6"/>
    <w:rsid w:val="00E52A93"/>
    <w:rsid w:val="00E572D5"/>
    <w:rsid w:val="00E60A29"/>
    <w:rsid w:val="00E62C15"/>
    <w:rsid w:val="00E65861"/>
    <w:rsid w:val="00E66A32"/>
    <w:rsid w:val="00E71AFB"/>
    <w:rsid w:val="00E82D4E"/>
    <w:rsid w:val="00E83179"/>
    <w:rsid w:val="00E8442F"/>
    <w:rsid w:val="00E8500A"/>
    <w:rsid w:val="00E86312"/>
    <w:rsid w:val="00E9245A"/>
    <w:rsid w:val="00E931DE"/>
    <w:rsid w:val="00E938D3"/>
    <w:rsid w:val="00E9460F"/>
    <w:rsid w:val="00E97485"/>
    <w:rsid w:val="00EA2D94"/>
    <w:rsid w:val="00EA34D4"/>
    <w:rsid w:val="00EA491F"/>
    <w:rsid w:val="00EA57E2"/>
    <w:rsid w:val="00EA7138"/>
    <w:rsid w:val="00EB198F"/>
    <w:rsid w:val="00EB3AEE"/>
    <w:rsid w:val="00EB43E1"/>
    <w:rsid w:val="00EB5559"/>
    <w:rsid w:val="00EB7C8D"/>
    <w:rsid w:val="00EC74B6"/>
    <w:rsid w:val="00EC7D14"/>
    <w:rsid w:val="00ED1448"/>
    <w:rsid w:val="00ED2D0F"/>
    <w:rsid w:val="00EE1EA8"/>
    <w:rsid w:val="00EE230D"/>
    <w:rsid w:val="00EE2954"/>
    <w:rsid w:val="00EE2C53"/>
    <w:rsid w:val="00EE54A1"/>
    <w:rsid w:val="00EE5B2A"/>
    <w:rsid w:val="00EE6066"/>
    <w:rsid w:val="00EF2D1C"/>
    <w:rsid w:val="00EF4BE7"/>
    <w:rsid w:val="00EF6732"/>
    <w:rsid w:val="00EF7A78"/>
    <w:rsid w:val="00F00B4E"/>
    <w:rsid w:val="00F0160D"/>
    <w:rsid w:val="00F01795"/>
    <w:rsid w:val="00F03BEA"/>
    <w:rsid w:val="00F06042"/>
    <w:rsid w:val="00F061A6"/>
    <w:rsid w:val="00F0640D"/>
    <w:rsid w:val="00F06B05"/>
    <w:rsid w:val="00F06D4A"/>
    <w:rsid w:val="00F07583"/>
    <w:rsid w:val="00F07A76"/>
    <w:rsid w:val="00F07B88"/>
    <w:rsid w:val="00F1090A"/>
    <w:rsid w:val="00F1193C"/>
    <w:rsid w:val="00F13403"/>
    <w:rsid w:val="00F139BF"/>
    <w:rsid w:val="00F15B51"/>
    <w:rsid w:val="00F1664A"/>
    <w:rsid w:val="00F16927"/>
    <w:rsid w:val="00F239DB"/>
    <w:rsid w:val="00F23D83"/>
    <w:rsid w:val="00F26711"/>
    <w:rsid w:val="00F26F83"/>
    <w:rsid w:val="00F275A1"/>
    <w:rsid w:val="00F304B3"/>
    <w:rsid w:val="00F31841"/>
    <w:rsid w:val="00F34455"/>
    <w:rsid w:val="00F35E0A"/>
    <w:rsid w:val="00F366A4"/>
    <w:rsid w:val="00F401A9"/>
    <w:rsid w:val="00F40E3D"/>
    <w:rsid w:val="00F43190"/>
    <w:rsid w:val="00F43627"/>
    <w:rsid w:val="00F43A1E"/>
    <w:rsid w:val="00F479EF"/>
    <w:rsid w:val="00F5437F"/>
    <w:rsid w:val="00F571B0"/>
    <w:rsid w:val="00F60F37"/>
    <w:rsid w:val="00F60F95"/>
    <w:rsid w:val="00F61484"/>
    <w:rsid w:val="00F647D2"/>
    <w:rsid w:val="00F64814"/>
    <w:rsid w:val="00F66651"/>
    <w:rsid w:val="00F6710C"/>
    <w:rsid w:val="00F70367"/>
    <w:rsid w:val="00F730A3"/>
    <w:rsid w:val="00F749E7"/>
    <w:rsid w:val="00F7622C"/>
    <w:rsid w:val="00F80E06"/>
    <w:rsid w:val="00F82A6B"/>
    <w:rsid w:val="00F8431A"/>
    <w:rsid w:val="00F844E1"/>
    <w:rsid w:val="00F86FE0"/>
    <w:rsid w:val="00F90CC8"/>
    <w:rsid w:val="00F93AA3"/>
    <w:rsid w:val="00F94074"/>
    <w:rsid w:val="00F9452D"/>
    <w:rsid w:val="00F9616B"/>
    <w:rsid w:val="00F962AD"/>
    <w:rsid w:val="00F968C3"/>
    <w:rsid w:val="00FA2998"/>
    <w:rsid w:val="00FA413A"/>
    <w:rsid w:val="00FA586E"/>
    <w:rsid w:val="00FA73C7"/>
    <w:rsid w:val="00FA79E2"/>
    <w:rsid w:val="00FB3A7C"/>
    <w:rsid w:val="00FB5C63"/>
    <w:rsid w:val="00FC2EB2"/>
    <w:rsid w:val="00FC572C"/>
    <w:rsid w:val="00FC6E61"/>
    <w:rsid w:val="00FD00C7"/>
    <w:rsid w:val="00FD1735"/>
    <w:rsid w:val="00FD27EE"/>
    <w:rsid w:val="00FD2FD1"/>
    <w:rsid w:val="00FD340C"/>
    <w:rsid w:val="00FD4643"/>
    <w:rsid w:val="00FE3137"/>
    <w:rsid w:val="00FE52F8"/>
    <w:rsid w:val="00FF1668"/>
    <w:rsid w:val="00FF1BA2"/>
    <w:rsid w:val="00FF2F5F"/>
    <w:rsid w:val="00FF3E8F"/>
    <w:rsid w:val="00FF6F06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DCF033"/>
  <w15:docId w15:val="{919BC814-7B96-43FD-A70B-C19490C61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CF46EA"/>
    <w:pPr>
      <w:keepNext/>
      <w:keepLines/>
      <w:numPr>
        <w:ilvl w:val="1"/>
        <w:numId w:val="18"/>
      </w:numPr>
      <w:spacing w:before="120" w:after="120"/>
      <w:jc w:val="both"/>
      <w:outlineLvl w:val="1"/>
    </w:pPr>
    <w:rPr>
      <w:rFonts w:ascii="Candara" w:hAnsi="Candara"/>
      <w:b/>
      <w:bCs/>
      <w:color w:val="5B9BD5"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3090F"/>
    <w:rPr>
      <w:rFonts w:ascii="Tahoma" w:hAnsi="Tahoma" w:cs="Tahoma"/>
      <w:sz w:val="16"/>
      <w:szCs w:val="16"/>
    </w:rPr>
  </w:style>
  <w:style w:type="paragraph" w:styleId="FootnoteText">
    <w:name w:val="footnote text"/>
    <w:aliases w:val="Podrozdział,stile 1,Footnote1,Footnote2,Footnote3,Footnote4,Footnote5,Footnote6,Footnote7,Footnote8,Footnote9,Footnote10,Footnote11,Footnote21,Footnote31,Footnote41,Footnote51,Footnote61,Footnote71,Footnote81,Footnote91,single spa,Footno"/>
    <w:basedOn w:val="Normal"/>
    <w:link w:val="FootnoteTextChar"/>
    <w:uiPriority w:val="99"/>
    <w:qFormat/>
    <w:rsid w:val="00682431"/>
    <w:rPr>
      <w:sz w:val="20"/>
      <w:szCs w:val="20"/>
    </w:rPr>
  </w:style>
  <w:style w:type="character" w:customStyle="1" w:styleId="FootnoteTextChar">
    <w:name w:val="Footnote Text Char"/>
    <w:aliases w:val="Podrozdział Char,stile 1 Char,Footnote1 Char,Footnote2 Char,Footnote3 Char,Footnote4 Char,Footnote5 Char,Footnote6 Char,Footnote7 Char,Footnote8 Char,Footnote9 Char,Footnote10 Char,Footnote11 Char,Footnote21 Char,Footnote31 Char"/>
    <w:link w:val="FootnoteText"/>
    <w:uiPriority w:val="99"/>
    <w:rsid w:val="00682431"/>
    <w:rPr>
      <w:lang w:val="bg-BG" w:eastAsia="bg-BG"/>
    </w:rPr>
  </w:style>
  <w:style w:type="character" w:styleId="FootnoteReference">
    <w:name w:val="footnote reference"/>
    <w:aliases w:val="Footnote symbol,Appel note de bas de p,SUPERS,Nota,(NECG) Footnote Reference,Voetnootverwijzing,Footnote Reference Superscript,BVI fnr,Lábjegyzet-hivatkozás,L?bjegyzet-hivatkoz?s,Char1 Char Char Char Char,ftref,Fussnot,Heading 4 Char2"/>
    <w:link w:val="SUPERSChar"/>
    <w:uiPriority w:val="99"/>
    <w:qFormat/>
    <w:rsid w:val="00682431"/>
    <w:rPr>
      <w:vertAlign w:val="superscript"/>
    </w:rPr>
  </w:style>
  <w:style w:type="character" w:styleId="CommentReference">
    <w:name w:val="annotation reference"/>
    <w:uiPriority w:val="99"/>
    <w:rsid w:val="006824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824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82431"/>
    <w:rPr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682431"/>
    <w:rPr>
      <w:b/>
      <w:bCs/>
    </w:rPr>
  </w:style>
  <w:style w:type="character" w:customStyle="1" w:styleId="CommentSubjectChar">
    <w:name w:val="Comment Subject Char"/>
    <w:link w:val="CommentSubject"/>
    <w:rsid w:val="00682431"/>
    <w:rPr>
      <w:b/>
      <w:bCs/>
      <w:lang w:val="bg-BG" w:eastAsia="bg-BG"/>
    </w:rPr>
  </w:style>
  <w:style w:type="paragraph" w:customStyle="1" w:styleId="CharChar2CharCharCharCharCharCharCharCharCharCharCharCharCharCharCharCharCharCharCharCharCharCharCharCharCharCharCharChar">
    <w:name w:val="Char Char2 Char Char Char Char Char Char Char Char Char Char Char Char Char Char Char Char Char Char Char Char Char Char Char Char Char Char Char Char"/>
    <w:basedOn w:val="Normal"/>
    <w:rsid w:val="00584F3F"/>
    <w:pPr>
      <w:tabs>
        <w:tab w:val="left" w:pos="709"/>
      </w:tabs>
    </w:pPr>
    <w:rPr>
      <w:rFonts w:ascii="Tahoma" w:hAnsi="Tahoma"/>
      <w:lang w:val="pl-PL" w:eastAsia="pl-PL"/>
    </w:rPr>
  </w:style>
  <w:style w:type="table" w:styleId="TableGrid">
    <w:name w:val="Table Grid"/>
    <w:basedOn w:val="TableNormal"/>
    <w:rsid w:val="00660F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D326AD"/>
    <w:pPr>
      <w:spacing w:before="100" w:beforeAutospacing="1" w:after="100" w:afterAutospacing="1"/>
    </w:pPr>
  </w:style>
  <w:style w:type="character" w:customStyle="1" w:styleId="spelle">
    <w:name w:val="spelle"/>
    <w:basedOn w:val="DefaultParagraphFont"/>
    <w:rsid w:val="00D326AD"/>
  </w:style>
  <w:style w:type="character" w:customStyle="1" w:styleId="grame">
    <w:name w:val="grame"/>
    <w:basedOn w:val="DefaultParagraphFont"/>
    <w:rsid w:val="00D326AD"/>
  </w:style>
  <w:style w:type="paragraph" w:customStyle="1" w:styleId="Text1">
    <w:name w:val="Text 1"/>
    <w:rsid w:val="00F571B0"/>
    <w:pPr>
      <w:widowControl w:val="0"/>
      <w:tabs>
        <w:tab w:val="left" w:pos="-720"/>
      </w:tabs>
      <w:suppressAutoHyphens/>
      <w:jc w:val="both"/>
    </w:pPr>
    <w:rPr>
      <w:rFonts w:ascii="Courier New" w:hAnsi="Courier New"/>
      <w:snapToGrid w:val="0"/>
      <w:spacing w:val="-3"/>
      <w:sz w:val="24"/>
      <w:lang w:val="en-GB" w:eastAsia="en-US"/>
    </w:rPr>
  </w:style>
  <w:style w:type="paragraph" w:styleId="BodyTextIndent">
    <w:name w:val="Body Text Indent"/>
    <w:basedOn w:val="Normal"/>
    <w:link w:val="BodyTextIndentChar"/>
    <w:rsid w:val="00662B4E"/>
    <w:pPr>
      <w:ind w:firstLine="720"/>
      <w:jc w:val="both"/>
    </w:pPr>
    <w:rPr>
      <w:sz w:val="28"/>
      <w:szCs w:val="20"/>
    </w:rPr>
  </w:style>
  <w:style w:type="character" w:customStyle="1" w:styleId="BodyTextIndentChar">
    <w:name w:val="Body Text Indent Char"/>
    <w:link w:val="BodyTextIndent"/>
    <w:rsid w:val="00662B4E"/>
    <w:rPr>
      <w:sz w:val="28"/>
      <w:lang w:val="bg-BG" w:eastAsia="bg-BG"/>
    </w:rPr>
  </w:style>
  <w:style w:type="paragraph" w:styleId="Header">
    <w:name w:val="header"/>
    <w:basedOn w:val="Normal"/>
    <w:link w:val="HeaderChar"/>
    <w:uiPriority w:val="99"/>
    <w:rsid w:val="00334D1C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334D1C"/>
    <w:rPr>
      <w:sz w:val="24"/>
      <w:szCs w:val="24"/>
      <w:lang w:val="bg-BG" w:eastAsia="bg-BG"/>
    </w:rPr>
  </w:style>
  <w:style w:type="paragraph" w:styleId="Footer">
    <w:name w:val="footer"/>
    <w:basedOn w:val="Normal"/>
    <w:link w:val="FooterChar"/>
    <w:rsid w:val="00334D1C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334D1C"/>
    <w:rPr>
      <w:sz w:val="24"/>
      <w:szCs w:val="24"/>
      <w:lang w:val="bg-BG" w:eastAsia="bg-BG"/>
    </w:rPr>
  </w:style>
  <w:style w:type="paragraph" w:styleId="Revision">
    <w:name w:val="Revision"/>
    <w:hidden/>
    <w:uiPriority w:val="99"/>
    <w:semiHidden/>
    <w:rsid w:val="00F1193C"/>
    <w:rPr>
      <w:sz w:val="24"/>
      <w:szCs w:val="24"/>
    </w:rPr>
  </w:style>
  <w:style w:type="paragraph" w:styleId="ListParagraph">
    <w:name w:val="List Paragraph"/>
    <w:aliases w:val="Bullet List,FooterText,List Paragraph1,Colorful List - Accent 11,numbered,Paragraphe de liste1,列出段落,列出段落1,Bulletr List Paragraph,List Paragraph2,List Paragraph21,Párrafo de lista1,Parágrafo da Lista1,リスト段落1,Plan,Dot pt,F5 List Paragraph"/>
    <w:basedOn w:val="Normal"/>
    <w:link w:val="ListParagraphChar"/>
    <w:qFormat/>
    <w:rsid w:val="00FD1735"/>
    <w:pPr>
      <w:ind w:left="708"/>
    </w:pPr>
  </w:style>
  <w:style w:type="paragraph" w:customStyle="1" w:styleId="ListNumber1">
    <w:name w:val="List Number 1"/>
    <w:basedOn w:val="Text1"/>
    <w:rsid w:val="00891DA0"/>
    <w:pPr>
      <w:widowControl/>
      <w:numPr>
        <w:numId w:val="8"/>
      </w:numPr>
      <w:tabs>
        <w:tab w:val="clear" w:pos="-720"/>
      </w:tabs>
      <w:suppressAutoHyphens w:val="0"/>
      <w:spacing w:after="240"/>
    </w:pPr>
    <w:rPr>
      <w:rFonts w:ascii="Times New Roman" w:hAnsi="Times New Roman"/>
      <w:snapToGrid/>
      <w:spacing w:val="0"/>
    </w:rPr>
  </w:style>
  <w:style w:type="paragraph" w:customStyle="1" w:styleId="ListNumber1Level2">
    <w:name w:val="List Number 1 (Level 2)"/>
    <w:basedOn w:val="Text1"/>
    <w:rsid w:val="00891DA0"/>
    <w:pPr>
      <w:widowControl/>
      <w:numPr>
        <w:ilvl w:val="1"/>
        <w:numId w:val="8"/>
      </w:numPr>
      <w:tabs>
        <w:tab w:val="clear" w:pos="-720"/>
      </w:tabs>
      <w:suppressAutoHyphens w:val="0"/>
      <w:spacing w:after="240"/>
    </w:pPr>
    <w:rPr>
      <w:rFonts w:ascii="Times New Roman" w:hAnsi="Times New Roman"/>
      <w:snapToGrid/>
      <w:spacing w:val="0"/>
    </w:rPr>
  </w:style>
  <w:style w:type="paragraph" w:customStyle="1" w:styleId="ListNumber1Level3">
    <w:name w:val="List Number 1 (Level 3)"/>
    <w:basedOn w:val="Text1"/>
    <w:rsid w:val="00891DA0"/>
    <w:pPr>
      <w:widowControl/>
      <w:numPr>
        <w:ilvl w:val="2"/>
        <w:numId w:val="8"/>
      </w:numPr>
      <w:tabs>
        <w:tab w:val="clear" w:pos="-720"/>
      </w:tabs>
      <w:suppressAutoHyphens w:val="0"/>
      <w:spacing w:after="240"/>
    </w:pPr>
    <w:rPr>
      <w:rFonts w:ascii="Times New Roman" w:hAnsi="Times New Roman"/>
      <w:snapToGrid/>
      <w:spacing w:val="0"/>
    </w:rPr>
  </w:style>
  <w:style w:type="paragraph" w:customStyle="1" w:styleId="ListNumber1Level4">
    <w:name w:val="List Number 1 (Level 4)"/>
    <w:basedOn w:val="Text1"/>
    <w:rsid w:val="00891DA0"/>
    <w:pPr>
      <w:widowControl/>
      <w:numPr>
        <w:ilvl w:val="3"/>
        <w:numId w:val="8"/>
      </w:numPr>
      <w:tabs>
        <w:tab w:val="clear" w:pos="-720"/>
      </w:tabs>
      <w:suppressAutoHyphens w:val="0"/>
      <w:spacing w:after="240"/>
    </w:pPr>
    <w:rPr>
      <w:rFonts w:ascii="Times New Roman" w:hAnsi="Times New Roman"/>
      <w:snapToGrid/>
      <w:spacing w:val="0"/>
    </w:rPr>
  </w:style>
  <w:style w:type="character" w:customStyle="1" w:styleId="Heading2Char">
    <w:name w:val="Heading 2 Char"/>
    <w:basedOn w:val="DefaultParagraphFont"/>
    <w:link w:val="Heading2"/>
    <w:uiPriority w:val="9"/>
    <w:rsid w:val="00CF46EA"/>
    <w:rPr>
      <w:rFonts w:ascii="Candara" w:hAnsi="Candara"/>
      <w:b/>
      <w:bCs/>
      <w:color w:val="5B9BD5"/>
      <w:sz w:val="26"/>
      <w:szCs w:val="26"/>
      <w:lang w:val="x-none" w:eastAsia="x-none"/>
    </w:rPr>
  </w:style>
  <w:style w:type="character" w:customStyle="1" w:styleId="ListParagraphChar">
    <w:name w:val="List Paragraph Char"/>
    <w:aliases w:val="Bullet List Char,FooterText Char,List Paragraph1 Char,Colorful List - Accent 11 Char,numbered Char,Paragraphe de liste1 Char,列出段落 Char,列出段落1 Char,Bulletr List Paragraph Char,List Paragraph2 Char,List Paragraph21 Char,リスト段落1 Char"/>
    <w:link w:val="ListParagraph"/>
    <w:qFormat/>
    <w:locked/>
    <w:rsid w:val="00CF46EA"/>
    <w:rPr>
      <w:sz w:val="24"/>
      <w:szCs w:val="24"/>
    </w:rPr>
  </w:style>
  <w:style w:type="paragraph" w:customStyle="1" w:styleId="SUPERSChar">
    <w:name w:val="SUPERS Char"/>
    <w:aliases w:val="EN Footnote Reference Char"/>
    <w:basedOn w:val="Normal"/>
    <w:link w:val="FootnoteReference"/>
    <w:rsid w:val="00CF46EA"/>
    <w:pPr>
      <w:spacing w:after="160" w:line="240" w:lineRule="exact"/>
    </w:pPr>
    <w:rPr>
      <w:sz w:val="20"/>
      <w:szCs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236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E77D5F-46C2-444D-9E86-3C62F4EE7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1752</Words>
  <Characters>9989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 Е К Л А Р А Ц И Я</vt:lpstr>
      <vt:lpstr>Д Е К Л А Р А Ц И Я</vt:lpstr>
    </vt:vector>
  </TitlesOfParts>
  <Company/>
  <LinksUpToDate>false</LinksUpToDate>
  <CharactersWithSpaces>11718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 А Ц И Я</dc:title>
  <dc:creator>nsamaras</dc:creator>
  <cp:lastModifiedBy>National Fund Culture</cp:lastModifiedBy>
  <cp:revision>15</cp:revision>
  <cp:lastPrinted>2020-06-24T10:58:00Z</cp:lastPrinted>
  <dcterms:created xsi:type="dcterms:W3CDTF">2024-12-12T14:30:00Z</dcterms:created>
  <dcterms:modified xsi:type="dcterms:W3CDTF">2025-02-14T13:41:00Z</dcterms:modified>
</cp:coreProperties>
</file>